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97F3" w14:textId="3701D159" w:rsidR="00662BB3" w:rsidRPr="00E91A42" w:rsidRDefault="00E91A42" w:rsidP="00662BB3">
      <w:pPr>
        <w:pStyle w:val="Zkladntext"/>
        <w:rPr>
          <w:rFonts w:ascii="Arial" w:hAnsi="Arial" w:cs="Arial"/>
          <w:b/>
          <w:sz w:val="24"/>
          <w:szCs w:val="24"/>
        </w:rPr>
      </w:pPr>
      <w:proofErr w:type="spellStart"/>
      <w:r w:rsidRPr="00E91A42">
        <w:rPr>
          <w:rFonts w:ascii="Arial" w:hAnsi="Arial" w:cs="Arial"/>
          <w:b/>
          <w:sz w:val="24"/>
          <w:szCs w:val="24"/>
        </w:rPr>
        <w:t>Příloha</w:t>
      </w:r>
      <w:proofErr w:type="spellEnd"/>
      <w:r w:rsidRPr="00E91A42">
        <w:rPr>
          <w:rFonts w:ascii="Arial" w:hAnsi="Arial" w:cs="Arial"/>
          <w:b/>
          <w:sz w:val="24"/>
          <w:szCs w:val="24"/>
        </w:rPr>
        <w:t xml:space="preserve"> II – </w:t>
      </w:r>
      <w:proofErr w:type="spellStart"/>
      <w:r w:rsidRPr="00E91A42">
        <w:rPr>
          <w:rFonts w:ascii="Arial" w:hAnsi="Arial" w:cs="Arial"/>
          <w:b/>
          <w:sz w:val="24"/>
          <w:szCs w:val="24"/>
        </w:rPr>
        <w:t>Významné</w:t>
      </w:r>
      <w:proofErr w:type="spellEnd"/>
      <w:r w:rsidRPr="00E91A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1A42">
        <w:rPr>
          <w:rFonts w:ascii="Arial" w:hAnsi="Arial" w:cs="Arial"/>
          <w:b/>
          <w:sz w:val="24"/>
          <w:szCs w:val="24"/>
        </w:rPr>
        <w:t>návrhy</w:t>
      </w:r>
      <w:proofErr w:type="spellEnd"/>
      <w:r w:rsidRPr="00E91A4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91A42">
        <w:rPr>
          <w:rFonts w:ascii="Arial" w:hAnsi="Arial" w:cs="Arial"/>
          <w:b/>
          <w:sz w:val="24"/>
          <w:szCs w:val="24"/>
        </w:rPr>
        <w:t>a</w:t>
      </w:r>
      <w:proofErr w:type="gramEnd"/>
      <w:r w:rsidRPr="00E91A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1A42">
        <w:rPr>
          <w:rFonts w:ascii="Arial" w:hAnsi="Arial" w:cs="Arial"/>
          <w:b/>
          <w:sz w:val="24"/>
          <w:szCs w:val="24"/>
        </w:rPr>
        <w:t>iniciativy</w:t>
      </w:r>
      <w:proofErr w:type="spellEnd"/>
      <w:r w:rsidRPr="00E91A42">
        <w:rPr>
          <w:rFonts w:ascii="Arial" w:hAnsi="Arial" w:cs="Arial"/>
          <w:b/>
          <w:sz w:val="24"/>
          <w:szCs w:val="24"/>
        </w:rPr>
        <w:t xml:space="preserve"> k </w:t>
      </w:r>
      <w:proofErr w:type="spellStart"/>
      <w:r w:rsidRPr="00E91A42">
        <w:rPr>
          <w:rFonts w:ascii="Arial" w:hAnsi="Arial" w:cs="Arial"/>
          <w:b/>
          <w:sz w:val="24"/>
          <w:szCs w:val="24"/>
        </w:rPr>
        <w:t>racionalizaci</w:t>
      </w:r>
      <w:proofErr w:type="spellEnd"/>
      <w:r w:rsidRPr="00E91A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1A42">
        <w:rPr>
          <w:rFonts w:ascii="Arial" w:hAnsi="Arial" w:cs="Arial"/>
          <w:b/>
          <w:sz w:val="24"/>
          <w:szCs w:val="24"/>
        </w:rPr>
        <w:t>požadavků</w:t>
      </w:r>
      <w:proofErr w:type="spellEnd"/>
      <w:r w:rsidRPr="00E91A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1A42">
        <w:rPr>
          <w:rFonts w:ascii="Arial" w:hAnsi="Arial" w:cs="Arial"/>
          <w:b/>
          <w:sz w:val="24"/>
          <w:szCs w:val="24"/>
        </w:rPr>
        <w:t>na</w:t>
      </w:r>
      <w:proofErr w:type="spellEnd"/>
      <w:r w:rsidRPr="00E91A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1A42">
        <w:rPr>
          <w:rFonts w:ascii="Arial" w:hAnsi="Arial" w:cs="Arial"/>
          <w:b/>
          <w:sz w:val="24"/>
          <w:szCs w:val="24"/>
        </w:rPr>
        <w:t>podávání</w:t>
      </w:r>
      <w:proofErr w:type="spellEnd"/>
      <w:r w:rsidRPr="00E91A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1A42">
        <w:rPr>
          <w:rFonts w:ascii="Arial" w:hAnsi="Arial" w:cs="Arial"/>
          <w:b/>
          <w:sz w:val="24"/>
          <w:szCs w:val="24"/>
        </w:rPr>
        <w:t>zpráv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E91A42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E91A42">
        <w:rPr>
          <w:rFonts w:ascii="Arial" w:hAnsi="Arial" w:cs="Arial"/>
          <w:b/>
          <w:sz w:val="24"/>
          <w:szCs w:val="24"/>
        </w:rPr>
        <w:t>hodnocení</w:t>
      </w:r>
      <w:proofErr w:type="spellEnd"/>
      <w:r w:rsidRPr="00E91A42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E91A42">
        <w:rPr>
          <w:rFonts w:ascii="Arial" w:hAnsi="Arial" w:cs="Arial"/>
          <w:b/>
          <w:sz w:val="24"/>
          <w:szCs w:val="24"/>
        </w:rPr>
        <w:t>kontroly</w:t>
      </w:r>
      <w:proofErr w:type="spellEnd"/>
      <w:r w:rsidRPr="00E91A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1A42">
        <w:rPr>
          <w:rFonts w:ascii="Arial" w:hAnsi="Arial" w:cs="Arial"/>
          <w:b/>
          <w:sz w:val="24"/>
          <w:szCs w:val="24"/>
        </w:rPr>
        <w:t>účelnosti</w:t>
      </w:r>
      <w:proofErr w:type="spellEnd"/>
    </w:p>
    <w:p w14:paraId="2212214B" w14:textId="77777777" w:rsidR="00662BB3" w:rsidRPr="00E91A42" w:rsidRDefault="00662BB3" w:rsidP="00662BB3">
      <w:pPr>
        <w:pStyle w:val="Zkladntext"/>
        <w:spacing w:before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2"/>
        <w:gridCol w:w="9356"/>
      </w:tblGrid>
      <w:tr w:rsidR="00662BB3" w:rsidRPr="00E91A42" w14:paraId="42642042" w14:textId="77777777" w:rsidTr="00E15745">
        <w:trPr>
          <w:trHeight w:val="507"/>
        </w:trPr>
        <w:tc>
          <w:tcPr>
            <w:tcW w:w="14744" w:type="dxa"/>
            <w:gridSpan w:val="3"/>
            <w:tcBorders>
              <w:bottom w:val="single" w:sz="12" w:space="0" w:color="000000"/>
            </w:tcBorders>
            <w:shd w:val="clear" w:color="auto" w:fill="004493"/>
          </w:tcPr>
          <w:p w14:paraId="2C93EFD2" w14:textId="77777777" w:rsidR="00662BB3" w:rsidRPr="00E91A42" w:rsidRDefault="00662BB3" w:rsidP="00E15745">
            <w:pPr>
              <w:pStyle w:val="TableParagraph"/>
              <w:spacing w:before="141"/>
              <w:ind w:left="20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color w:val="FFFFFF"/>
                <w:sz w:val="20"/>
              </w:rPr>
              <w:t xml:space="preserve">Oddíl A – Návrhy a iniciativy k racionalizaci požadavků na podávání zpráv přijaté </w:t>
            </w:r>
            <w:proofErr w:type="spellStart"/>
            <w:r w:rsidRPr="00E91A42">
              <w:rPr>
                <w:rFonts w:ascii="Arial" w:hAnsi="Arial" w:cs="Arial"/>
                <w:b/>
                <w:color w:val="FFFFFF"/>
                <w:sz w:val="20"/>
              </w:rPr>
              <w:t>Komisí</w:t>
            </w:r>
            <w:proofErr w:type="spellEnd"/>
            <w:r w:rsidRPr="00E91A42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color w:val="FFFFFF"/>
                <w:sz w:val="20"/>
              </w:rPr>
              <w:t>od</w:t>
            </w:r>
            <w:proofErr w:type="spellEnd"/>
            <w:r w:rsidRPr="00E91A42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color w:val="FFFFFF"/>
                <w:sz w:val="20"/>
              </w:rPr>
              <w:t>března</w:t>
            </w:r>
            <w:proofErr w:type="spellEnd"/>
            <w:r w:rsidRPr="00E91A42">
              <w:rPr>
                <w:rFonts w:ascii="Arial" w:hAnsi="Arial" w:cs="Arial"/>
                <w:b/>
                <w:color w:val="FFFFFF"/>
                <w:sz w:val="20"/>
              </w:rPr>
              <w:t xml:space="preserve"> 2023</w:t>
            </w:r>
          </w:p>
        </w:tc>
      </w:tr>
      <w:tr w:rsidR="00662BB3" w:rsidRPr="00E91A42" w14:paraId="3CD036A8" w14:textId="77777777" w:rsidTr="00E15745">
        <w:trPr>
          <w:trHeight w:val="467"/>
        </w:trPr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6365D12" w14:textId="77777777" w:rsidR="00662BB3" w:rsidRPr="00E91A42" w:rsidRDefault="00662BB3" w:rsidP="00E15745">
            <w:pPr>
              <w:pStyle w:val="TableParagraph"/>
              <w:spacing w:before="117"/>
              <w:ind w:left="136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5"/>
                <w:sz w:val="20"/>
              </w:rPr>
              <w:t>Ne.</w:t>
            </w:r>
          </w:p>
        </w:tc>
        <w:tc>
          <w:tcPr>
            <w:tcW w:w="48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E9D2DE4" w14:textId="77777777" w:rsidR="00662BB3" w:rsidRPr="00E91A42" w:rsidRDefault="00662BB3" w:rsidP="00E15745">
            <w:pPr>
              <w:pStyle w:val="TableParagraph"/>
              <w:spacing w:before="117"/>
              <w:ind w:left="12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Titul</w:t>
            </w:r>
          </w:p>
        </w:tc>
        <w:tc>
          <w:tcPr>
            <w:tcW w:w="9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EF66011" w14:textId="77777777" w:rsidR="00662BB3" w:rsidRPr="00E91A42" w:rsidRDefault="00662BB3" w:rsidP="00E15745">
            <w:pPr>
              <w:pStyle w:val="TableParagraph"/>
              <w:spacing w:before="117"/>
              <w:ind w:left="13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Popis</w:t>
            </w:r>
          </w:p>
        </w:tc>
      </w:tr>
      <w:tr w:rsidR="00662BB3" w:rsidRPr="00E91A42" w14:paraId="663C9D51" w14:textId="77777777" w:rsidTr="00E15745">
        <w:trPr>
          <w:trHeight w:val="9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93A4" w14:textId="77777777" w:rsidR="00662BB3" w:rsidRPr="00E91A42" w:rsidRDefault="00662BB3" w:rsidP="00E15745">
            <w:pPr>
              <w:pStyle w:val="TableParagraph"/>
              <w:spacing w:before="120"/>
              <w:ind w:left="110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AE6D" w14:textId="77777777" w:rsidR="00662BB3" w:rsidRPr="00E91A42" w:rsidRDefault="00662BB3" w:rsidP="00E15745">
            <w:pPr>
              <w:pStyle w:val="TableParagraph"/>
              <w:spacing w:before="120"/>
              <w:ind w:left="113" w:right="96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Sdělení "Digitalizace koordinace sociálního zabezpečení: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usnadnění volného pohybu na jednotném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trhu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" – </w:t>
            </w:r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COM(</w:t>
            </w:r>
            <w:proofErr w:type="gramEnd"/>
            <w:r w:rsidRPr="00E91A42">
              <w:rPr>
                <w:rFonts w:ascii="Arial" w:hAnsi="Arial" w:cs="Arial"/>
                <w:b/>
                <w:sz w:val="20"/>
              </w:rPr>
              <w:t>2023) 501.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801C" w14:textId="77777777" w:rsidR="00662BB3" w:rsidRPr="00E91A42" w:rsidRDefault="00662BB3" w:rsidP="00E15745">
            <w:pPr>
              <w:pStyle w:val="TableParagraph"/>
              <w:spacing w:before="120"/>
              <w:ind w:left="111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Sdělení představuje opatření k digitalizaci postupů koordinace sociálního zabezpečení s cílem snížit administrativní zátěž mobilních občanů a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podniků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působících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přeshraničně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3FB2C8CA" w14:textId="77777777" w:rsidTr="00E15745">
        <w:trPr>
          <w:trHeight w:val="1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230A" w14:textId="77777777" w:rsidR="00662BB3" w:rsidRPr="00E91A42" w:rsidRDefault="00662BB3" w:rsidP="00E15745">
            <w:pPr>
              <w:pStyle w:val="TableParagraph"/>
              <w:spacing w:before="120"/>
              <w:ind w:left="110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2.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FEB6" w14:textId="77777777" w:rsidR="00662BB3" w:rsidRPr="00E91A42" w:rsidRDefault="00662BB3" w:rsidP="00E15745">
            <w:pPr>
              <w:pStyle w:val="TableParagraph"/>
              <w:spacing w:before="120"/>
              <w:ind w:left="113" w:right="91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směrnice Evropského parlamentu a Rady, kterou se mění směrnice 2014/59/EU, pokud jde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opatření včasného zásahu, podmínky řešení krize a financování opatření k řešení krize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– </w:t>
            </w:r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COM(</w:t>
            </w:r>
            <w:proofErr w:type="gramEnd"/>
            <w:r w:rsidRPr="00E91A42">
              <w:rPr>
                <w:rFonts w:ascii="Arial" w:hAnsi="Arial" w:cs="Arial"/>
                <w:b/>
                <w:sz w:val="20"/>
              </w:rPr>
              <w:t>2023) 227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8248" w14:textId="77777777" w:rsidR="00662BB3" w:rsidRPr="00E91A42" w:rsidRDefault="00662BB3" w:rsidP="00E15745">
            <w:pPr>
              <w:pStyle w:val="TableParagraph"/>
              <w:spacing w:before="120"/>
              <w:ind w:left="111" w:right="97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Návrh počítá se snížením zpravodajské zátěže bank a orgánů odstraněním některých povinností. Návrh rovněž usnadní sdílení informací mezi orgány, aby se zabránilo zdvojování zpráv ze strany bank.</w:t>
            </w:r>
          </w:p>
        </w:tc>
      </w:tr>
      <w:tr w:rsidR="00662BB3" w:rsidRPr="00E91A42" w14:paraId="6C3F0F74" w14:textId="77777777" w:rsidTr="00E15745">
        <w:trPr>
          <w:trHeight w:val="18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D5E8" w14:textId="77777777" w:rsidR="00662BB3" w:rsidRPr="00E91A42" w:rsidRDefault="00662BB3" w:rsidP="00E15745">
            <w:pPr>
              <w:pStyle w:val="TableParagraph"/>
              <w:spacing w:before="120"/>
              <w:ind w:left="110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3.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0E09" w14:textId="77777777" w:rsidR="00662BB3" w:rsidRPr="00E91A42" w:rsidRDefault="00662BB3" w:rsidP="00E15745">
            <w:pPr>
              <w:pStyle w:val="TableParagraph"/>
              <w:spacing w:before="120"/>
              <w:ind w:left="113" w:right="92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>Prováděcí nařízení Komise (EU) 2023/895 ze dne 4. dubna 2023 o uplatňování směrnice Evropského parlamentu a Rady 2009/138/ES, pokud jde o postupy, formáty a šablony pro zveřejňování zpráv pojišťovnami a zajišťovnami o jejich solventnosti a finanční situaci (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Solventnost II</w:t>
            </w:r>
            <w:r w:rsidRPr="00E91A42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2033" w14:textId="77777777" w:rsidR="00662BB3" w:rsidRPr="00E91A42" w:rsidRDefault="00662BB3" w:rsidP="00E15745">
            <w:pPr>
              <w:pStyle w:val="TableParagraph"/>
              <w:spacing w:before="120"/>
              <w:ind w:left="111" w:right="91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V souladu se směrnicí Solventnost II přijala Komise dne 4. dubna 2023 nové prováděcí technické normy pro oznamování a zveřejňování informací pojišťovnami a zajišťovnami, které zjednodušují oznamování, odstraňují některé šablony a zvyšují jeho přiměřenost.</w:t>
            </w:r>
          </w:p>
        </w:tc>
      </w:tr>
      <w:tr w:rsidR="00662BB3" w:rsidRPr="00E91A42" w14:paraId="7712EAE6" w14:textId="77777777" w:rsidTr="00E15745">
        <w:trPr>
          <w:trHeight w:val="1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C78E" w14:textId="77777777" w:rsidR="00662BB3" w:rsidRPr="00E91A42" w:rsidRDefault="00662BB3" w:rsidP="00E15745">
            <w:pPr>
              <w:pStyle w:val="TableParagraph"/>
              <w:spacing w:before="120"/>
              <w:ind w:left="110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4.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7A83" w14:textId="77777777" w:rsidR="00662BB3" w:rsidRPr="00E91A42" w:rsidRDefault="00662BB3" w:rsidP="00E15745">
            <w:pPr>
              <w:pStyle w:val="TableParagraph"/>
              <w:spacing w:before="120"/>
              <w:ind w:left="113" w:right="97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nařízení, kterým se mění nařízení č. 223/2009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o evropské statistice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– </w:t>
            </w:r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COM(</w:t>
            </w:r>
            <w:proofErr w:type="gramEnd"/>
            <w:r w:rsidRPr="00E91A42">
              <w:rPr>
                <w:rFonts w:ascii="Arial" w:hAnsi="Arial" w:cs="Arial"/>
                <w:b/>
                <w:sz w:val="20"/>
              </w:rPr>
              <w:t>2023) 402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CAF5" w14:textId="77777777" w:rsidR="00662BB3" w:rsidRPr="00E91A42" w:rsidRDefault="00662BB3" w:rsidP="00E15745">
            <w:pPr>
              <w:pStyle w:val="TableParagraph"/>
              <w:spacing w:before="120"/>
              <w:ind w:left="111" w:right="92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Návrh počítá se snížením zátěže pro podniky díky většímu využívání nových zdrojů (digitálních a administrativních) a digitalizaci bezpečných platforem pro výměnu dat. Lze předpokládat značné úspory související se snížením objemu průzkumů, a tím i se snížením zátěže pro podniky a občany. Snížení zátěže se dotkne podniků všech velikostí, včetně malých a středních podniků. Malé a střední podniky budou mít prospěch z většího počtu včasnějších statistik, zejména proto, že v průzkumech mezi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podniky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tvoří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většinu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respondentů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3EE84BEE" w14:textId="77777777" w:rsidTr="00E15745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67DA" w14:textId="77777777" w:rsidR="00662BB3" w:rsidRPr="00E91A42" w:rsidRDefault="00662BB3" w:rsidP="00E15745">
            <w:pPr>
              <w:pStyle w:val="TableParagraph"/>
              <w:spacing w:before="122"/>
              <w:ind w:left="110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5.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D810" w14:textId="2B9F79E7" w:rsidR="00662BB3" w:rsidRPr="00E91A42" w:rsidRDefault="00662BB3" w:rsidP="00E15745">
            <w:pPr>
              <w:pStyle w:val="TableParagraph"/>
              <w:tabs>
                <w:tab w:val="left" w:pos="1081"/>
                <w:tab w:val="left" w:pos="1551"/>
                <w:tab w:val="left" w:pos="1865"/>
                <w:tab w:val="left" w:pos="3009"/>
                <w:tab w:val="left" w:pos="3390"/>
                <w:tab w:val="left" w:pos="3869"/>
              </w:tabs>
              <w:spacing w:before="100" w:line="230" w:lineRule="atLeast"/>
              <w:ind w:left="113" w:right="97"/>
              <w:rPr>
                <w:rFonts w:ascii="Arial" w:hAnsi="Arial" w:cs="Arial"/>
                <w:b/>
                <w:sz w:val="20"/>
              </w:rPr>
            </w:pPr>
            <w:proofErr w:type="spellStart"/>
            <w:r w:rsidRPr="00E91A42">
              <w:rPr>
                <w:rFonts w:ascii="Arial" w:hAnsi="Arial" w:cs="Arial"/>
                <w:b/>
                <w:spacing w:val="-2"/>
                <w:sz w:val="20"/>
              </w:rPr>
              <w:t>Návrh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ab/>
            </w:r>
            <w:r w:rsidRPr="00E91A42">
              <w:rPr>
                <w:rFonts w:ascii="Arial" w:hAnsi="Arial" w:cs="Arial"/>
                <w:b/>
                <w:spacing w:val="-4"/>
                <w:sz w:val="20"/>
              </w:rPr>
              <w:t>pro</w:t>
            </w:r>
            <w:r w:rsidRPr="00E91A42">
              <w:rPr>
                <w:rFonts w:ascii="Arial" w:hAnsi="Arial" w:cs="Arial"/>
                <w:b/>
                <w:sz w:val="20"/>
              </w:rPr>
              <w:tab/>
            </w:r>
            <w:r w:rsidRPr="00E91A42">
              <w:rPr>
                <w:rFonts w:ascii="Arial" w:hAnsi="Arial" w:cs="Arial"/>
                <w:b/>
                <w:spacing w:val="-10"/>
                <w:sz w:val="20"/>
              </w:rPr>
              <w:t>a</w:t>
            </w:r>
            <w:r w:rsidRPr="00E91A42"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 w:rsidRPr="00E91A42">
              <w:rPr>
                <w:rFonts w:ascii="Arial" w:hAnsi="Arial" w:cs="Arial"/>
                <w:b/>
                <w:spacing w:val="-2"/>
                <w:sz w:val="20"/>
              </w:rPr>
              <w:t>Regulace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ab/>
            </w:r>
            <w:r w:rsidRPr="00E91A42">
              <w:rPr>
                <w:rFonts w:ascii="Arial" w:hAnsi="Arial" w:cs="Arial"/>
                <w:b/>
                <w:spacing w:val="-6"/>
                <w:sz w:val="20"/>
              </w:rPr>
              <w:t>z</w:t>
            </w:r>
            <w:r w:rsidRPr="00E91A42">
              <w:rPr>
                <w:rFonts w:ascii="Arial" w:hAnsi="Arial" w:cs="Arial"/>
                <w:b/>
                <w:sz w:val="20"/>
              </w:rPr>
              <w:tab/>
            </w:r>
            <w:r w:rsidRPr="00E91A42">
              <w:rPr>
                <w:rFonts w:ascii="Arial" w:hAnsi="Arial" w:cs="Arial"/>
                <w:b/>
                <w:spacing w:val="-4"/>
                <w:sz w:val="20"/>
              </w:rPr>
              <w:t>ten</w:t>
            </w:r>
            <w:r w:rsidR="00E91A4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pacing w:val="-2"/>
                <w:sz w:val="20"/>
              </w:rPr>
              <w:t>Evropského</w:t>
            </w:r>
            <w:proofErr w:type="spellEnd"/>
            <w:r w:rsidRPr="00E91A42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pacing w:val="-2"/>
                <w:sz w:val="20"/>
              </w:rPr>
              <w:t>parlamentu</w:t>
            </w:r>
            <w:proofErr w:type="spellEnd"/>
            <w:r w:rsidRPr="00E91A42">
              <w:rPr>
                <w:rFonts w:ascii="Arial" w:hAnsi="Arial" w:cs="Arial"/>
                <w:b/>
                <w:spacing w:val="-2"/>
                <w:sz w:val="20"/>
              </w:rPr>
              <w:t xml:space="preserve"> a Rady o Evropské unii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8453" w14:textId="77777777" w:rsidR="00662BB3" w:rsidRPr="00E91A42" w:rsidRDefault="00662BB3" w:rsidP="00E15745">
            <w:pPr>
              <w:pStyle w:val="TableParagraph"/>
              <w:spacing w:before="100" w:line="230" w:lineRule="atLeast"/>
              <w:ind w:left="111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Návrh povede ke zjednodušení a zvýšení efektivity a zároveň podpoří využívání alternativních administrativních zdrojů a moderních digitálních technik, včetně automatického přenosu údajů o mzdách a internetu</w:t>
            </w:r>
          </w:p>
        </w:tc>
      </w:tr>
    </w:tbl>
    <w:p w14:paraId="70B5B2E3" w14:textId="77777777" w:rsidR="00662BB3" w:rsidRPr="00E91A42" w:rsidRDefault="00662BB3" w:rsidP="00662BB3">
      <w:pPr>
        <w:pStyle w:val="Zkladntext"/>
        <w:spacing w:before="60"/>
        <w:rPr>
          <w:rFonts w:ascii="Arial" w:hAnsi="Arial" w:cs="Arial"/>
          <w:b/>
        </w:rPr>
      </w:pPr>
      <w:r w:rsidRPr="00E91A4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845837" wp14:editId="62390674">
                <wp:simplePos x="0" y="0"/>
                <wp:positionH relativeFrom="page">
                  <wp:posOffset>719327</wp:posOffset>
                </wp:positionH>
                <wp:positionV relativeFrom="paragraph">
                  <wp:posOffset>199897</wp:posOffset>
                </wp:positionV>
                <wp:extent cx="1829435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Graphic 5" style="position:absolute;margin-left:56.65pt;margin-top:15.75pt;width:144.05pt;height:.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spid="_x0000_s1026" fillcolor="black" stroked="f" path="m1829054,l,,,7620r1829054,l182905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" w14:anchorId="2132CEC1">
                <v:path arrowok="t"/>
                <w10:wrap type="topAndBottom" anchorx="page"/>
              </v:shape>
            </w:pict>
          </mc:Fallback>
        </mc:AlternateContent>
      </w:r>
    </w:p>
    <w:p w14:paraId="059CAEF9" w14:textId="77777777" w:rsidR="00662BB3" w:rsidRPr="00E91A42" w:rsidRDefault="00662BB3" w:rsidP="00662BB3">
      <w:pPr>
        <w:pStyle w:val="Zkladntext"/>
        <w:spacing w:before="103"/>
        <w:ind w:left="550" w:right="289" w:hanging="358"/>
        <w:jc w:val="both"/>
        <w:rPr>
          <w:rFonts w:ascii="Arial" w:hAnsi="Arial" w:cs="Arial"/>
        </w:rPr>
      </w:pPr>
      <w:proofErr w:type="gramStart"/>
      <w:r w:rsidRPr="00E91A42">
        <w:rPr>
          <w:rFonts w:ascii="Arial" w:hAnsi="Arial" w:cs="Arial"/>
          <w:vertAlign w:val="superscript"/>
        </w:rPr>
        <w:t xml:space="preserve">2  </w:t>
      </w:r>
      <w:r w:rsidRPr="00E91A42">
        <w:rPr>
          <w:rFonts w:ascii="Arial" w:hAnsi="Arial" w:cs="Arial"/>
        </w:rPr>
        <w:t>Tato</w:t>
      </w:r>
      <w:proofErr w:type="gramEnd"/>
      <w:r w:rsidRPr="00E91A42">
        <w:rPr>
          <w:rFonts w:ascii="Arial" w:hAnsi="Arial" w:cs="Arial"/>
        </w:rPr>
        <w:t xml:space="preserve"> příloha představuje návrhy a podněty přijaté Komisí od března 2023 a další návrhy, které Komise přijímá v rámci tohoto pracovního programu nebo přijímá později, které racionalizují a zefektivňují požadavky EU na podávání zpráv. Příloha rovněž obsahuje připravované iniciativy a nejvýznamnější hodnocení a kontroly účelnosti v rámci programu REFIT, které Komise </w:t>
      </w:r>
      <w:proofErr w:type="spellStart"/>
      <w:r w:rsidRPr="00E91A42">
        <w:rPr>
          <w:rFonts w:ascii="Arial" w:hAnsi="Arial" w:cs="Arial"/>
        </w:rPr>
        <w:t>provede</w:t>
      </w:r>
      <w:proofErr w:type="spellEnd"/>
      <w:r w:rsidRPr="00E91A42">
        <w:rPr>
          <w:rFonts w:ascii="Arial" w:hAnsi="Arial" w:cs="Arial"/>
        </w:rPr>
        <w:t xml:space="preserve"> v </w:t>
      </w:r>
      <w:proofErr w:type="spellStart"/>
      <w:r w:rsidRPr="00E91A42">
        <w:rPr>
          <w:rFonts w:ascii="Arial" w:hAnsi="Arial" w:cs="Arial"/>
        </w:rPr>
        <w:t>roce</w:t>
      </w:r>
      <w:proofErr w:type="spellEnd"/>
      <w:r w:rsidRPr="00E91A42">
        <w:rPr>
          <w:rFonts w:ascii="Arial" w:hAnsi="Arial" w:cs="Arial"/>
        </w:rPr>
        <w:t xml:space="preserve"> 2024.</w:t>
      </w:r>
    </w:p>
    <w:p w14:paraId="66F12759" w14:textId="77777777" w:rsidR="00662BB3" w:rsidRPr="00E91A42" w:rsidRDefault="00662BB3" w:rsidP="00662BB3">
      <w:pPr>
        <w:jc w:val="both"/>
        <w:rPr>
          <w:rFonts w:ascii="Arial" w:hAnsi="Arial" w:cs="Arial"/>
        </w:rPr>
        <w:sectPr w:rsidR="00662BB3" w:rsidRPr="00E91A42">
          <w:pgSz w:w="16840" w:h="11910" w:orient="landscape"/>
          <w:pgMar w:top="760" w:right="840" w:bottom="740" w:left="940" w:header="0" w:footer="541" w:gutter="0"/>
          <w:cols w:space="708"/>
        </w:sectPr>
      </w:pPr>
    </w:p>
    <w:p w14:paraId="4C7F7792" w14:textId="77777777" w:rsidR="00662BB3" w:rsidRPr="00E91A42" w:rsidRDefault="00662BB3" w:rsidP="00662BB3">
      <w:pPr>
        <w:pStyle w:val="Zkladntext"/>
        <w:spacing w:before="2"/>
        <w:rPr>
          <w:rFonts w:ascii="Arial" w:hAnsi="Arial" w:cs="Arial"/>
          <w:sz w:val="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2"/>
        <w:gridCol w:w="9356"/>
      </w:tblGrid>
      <w:tr w:rsidR="00662BB3" w:rsidRPr="00E91A42" w14:paraId="3D9B4A78" w14:textId="77777777" w:rsidTr="00E15745">
        <w:trPr>
          <w:trHeight w:val="470"/>
        </w:trPr>
        <w:tc>
          <w:tcPr>
            <w:tcW w:w="566" w:type="dxa"/>
            <w:shd w:val="clear" w:color="auto" w:fill="99CCFF"/>
          </w:tcPr>
          <w:p w14:paraId="511AE7A4" w14:textId="77777777" w:rsidR="00662BB3" w:rsidRPr="00E91A42" w:rsidRDefault="00662BB3" w:rsidP="00E15745">
            <w:pPr>
              <w:pStyle w:val="TableParagraph"/>
              <w:spacing w:before="120"/>
              <w:ind w:left="134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5"/>
                <w:sz w:val="20"/>
              </w:rPr>
              <w:t>Ne.</w:t>
            </w:r>
          </w:p>
        </w:tc>
        <w:tc>
          <w:tcPr>
            <w:tcW w:w="4822" w:type="dxa"/>
            <w:shd w:val="clear" w:color="auto" w:fill="99CCFF"/>
          </w:tcPr>
          <w:p w14:paraId="103562FC" w14:textId="77777777" w:rsidR="00662BB3" w:rsidRPr="00E91A42" w:rsidRDefault="00662BB3" w:rsidP="00E15745">
            <w:pPr>
              <w:pStyle w:val="TableParagraph"/>
              <w:spacing w:before="120"/>
              <w:ind w:left="12" w:right="5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Titul</w:t>
            </w:r>
          </w:p>
        </w:tc>
        <w:tc>
          <w:tcPr>
            <w:tcW w:w="9356" w:type="dxa"/>
            <w:shd w:val="clear" w:color="auto" w:fill="99CCFF"/>
          </w:tcPr>
          <w:p w14:paraId="6B23204E" w14:textId="77777777" w:rsidR="00662BB3" w:rsidRPr="00E91A42" w:rsidRDefault="00662BB3" w:rsidP="00E15745">
            <w:pPr>
              <w:pStyle w:val="TableParagraph"/>
              <w:spacing w:before="120"/>
              <w:ind w:left="13" w:right="4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Popis</w:t>
            </w:r>
          </w:p>
        </w:tc>
      </w:tr>
      <w:tr w:rsidR="00662BB3" w:rsidRPr="00E91A42" w14:paraId="1D7D10E2" w14:textId="77777777" w:rsidTr="00E15745">
        <w:trPr>
          <w:trHeight w:val="1038"/>
        </w:trPr>
        <w:tc>
          <w:tcPr>
            <w:tcW w:w="566" w:type="dxa"/>
          </w:tcPr>
          <w:p w14:paraId="0984BA6F" w14:textId="77777777" w:rsidR="00662BB3" w:rsidRPr="00E91A42" w:rsidRDefault="00662BB3" w:rsidP="00E15745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4822" w:type="dxa"/>
          </w:tcPr>
          <w:p w14:paraId="43F0E9D3" w14:textId="77777777" w:rsidR="00662BB3" w:rsidRPr="00E91A42" w:rsidRDefault="00662BB3" w:rsidP="00E15745">
            <w:pPr>
              <w:pStyle w:val="TableParagraph"/>
              <w:spacing w:before="0"/>
              <w:ind w:left="111" w:right="96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statistika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trhu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práce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týkající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se </w:t>
            </w: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podniků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kterým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se </w:t>
            </w: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zrušuje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nařízení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Rady (ES) č. 530/1999 a </w:t>
            </w: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nařízení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(ES) č. 450/2003 a (ES) č. 453/2008 – </w:t>
            </w:r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COM(</w:t>
            </w:r>
            <w:proofErr w:type="gramEnd"/>
            <w:r w:rsidRPr="00E91A42">
              <w:rPr>
                <w:rFonts w:ascii="Arial" w:hAnsi="Arial" w:cs="Arial"/>
                <w:b/>
                <w:sz w:val="20"/>
              </w:rPr>
              <w:t>2023) 459</w:t>
            </w:r>
          </w:p>
        </w:tc>
        <w:tc>
          <w:tcPr>
            <w:tcW w:w="9356" w:type="dxa"/>
          </w:tcPr>
          <w:p w14:paraId="0C4711A8" w14:textId="440E9D0D" w:rsidR="00662BB3" w:rsidRPr="00E91A42" w:rsidRDefault="00E91A42" w:rsidP="00E91A42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62BB3" w:rsidRPr="00E91A42">
              <w:rPr>
                <w:rFonts w:ascii="Arial" w:hAnsi="Arial" w:cs="Arial"/>
                <w:sz w:val="20"/>
              </w:rPr>
              <w:t>, které bude hrát roli při snižování zátěže podniků obecně a zejména malých a středních podniků.</w:t>
            </w:r>
          </w:p>
        </w:tc>
      </w:tr>
      <w:tr w:rsidR="00662BB3" w:rsidRPr="00E91A42" w14:paraId="4F617F6F" w14:textId="77777777" w:rsidTr="00E15745">
        <w:trPr>
          <w:trHeight w:val="1850"/>
        </w:trPr>
        <w:tc>
          <w:tcPr>
            <w:tcW w:w="566" w:type="dxa"/>
          </w:tcPr>
          <w:p w14:paraId="61FD6014" w14:textId="77777777" w:rsidR="00662BB3" w:rsidRPr="00E91A42" w:rsidRDefault="00662BB3" w:rsidP="00E15745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6.</w:t>
            </w:r>
          </w:p>
        </w:tc>
        <w:tc>
          <w:tcPr>
            <w:tcW w:w="4822" w:type="dxa"/>
          </w:tcPr>
          <w:p w14:paraId="505BBF06" w14:textId="77777777" w:rsidR="00662BB3" w:rsidRPr="00E91A42" w:rsidRDefault="00662BB3" w:rsidP="00E15745">
            <w:pPr>
              <w:pStyle w:val="TableParagraph"/>
              <w:spacing w:before="120"/>
              <w:ind w:left="111" w:right="94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>Prováděcí nařízení Komise (EU) 2023/1472 ze dne 17. července 2023, kterým se mění nařízení (ES) č. 1055/2008, pokud jde o četnost, s jakou členské státy předkládají své zprávy o kvalitě statistiky platební bilance, mezinárodního obchodu službami a přímých zahraničních investic</w:t>
            </w:r>
          </w:p>
        </w:tc>
        <w:tc>
          <w:tcPr>
            <w:tcW w:w="9356" w:type="dxa"/>
          </w:tcPr>
          <w:p w14:paraId="6ABC2843" w14:textId="77777777" w:rsidR="00662BB3" w:rsidRPr="00E91A42" w:rsidRDefault="00662BB3" w:rsidP="00E15745">
            <w:pPr>
              <w:pStyle w:val="TableParagraph"/>
              <w:spacing w:before="120"/>
              <w:ind w:left="108" w:right="95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Prováděcí nařízení racionalizuje oznamovací povinnosti zjednodušením a harmonizací zpráv o metadatech a snížením četnosti zpráv o kvalitě vypracovávaných všemi statistickými úřady v Evropském statistickém systému (Eurostatem, členskými státy EU, Evropskou zónou volného obchodu a Evropským systémem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centrálních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bank – ESCB).</w:t>
            </w:r>
          </w:p>
        </w:tc>
      </w:tr>
      <w:tr w:rsidR="00662BB3" w:rsidRPr="00E91A42" w14:paraId="3D0CD86B" w14:textId="77777777" w:rsidTr="00E15745">
        <w:trPr>
          <w:trHeight w:val="3820"/>
        </w:trPr>
        <w:tc>
          <w:tcPr>
            <w:tcW w:w="566" w:type="dxa"/>
          </w:tcPr>
          <w:p w14:paraId="6A62B125" w14:textId="77777777" w:rsidR="00662BB3" w:rsidRPr="00E91A42" w:rsidRDefault="00662BB3" w:rsidP="00E15745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7.</w:t>
            </w:r>
          </w:p>
        </w:tc>
        <w:tc>
          <w:tcPr>
            <w:tcW w:w="4822" w:type="dxa"/>
          </w:tcPr>
          <w:p w14:paraId="6732C0E4" w14:textId="77777777" w:rsidR="00662BB3" w:rsidRPr="00E91A42" w:rsidRDefault="00662BB3" w:rsidP="00E15745">
            <w:pPr>
              <w:pStyle w:val="TableParagraph"/>
              <w:spacing w:before="120"/>
              <w:ind w:left="111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>Přezkum správy ekonomických záležitostí:</w:t>
            </w:r>
          </w:p>
          <w:p w14:paraId="211ECC9D" w14:textId="77777777" w:rsidR="00662BB3" w:rsidRPr="00E91A42" w:rsidRDefault="00662BB3" w:rsidP="00E15745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8"/>
              </w:tabs>
              <w:spacing w:before="124" w:line="235" w:lineRule="auto"/>
              <w:ind w:right="97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nařízení Evropského parlamentu a Rady o účinné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koordinaci hospodářských politik a mnohostranného rozpočtového dohledu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a o zrušení nařízení (ES) č. 1466/97 – </w:t>
            </w:r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COM(</w:t>
            </w:r>
            <w:proofErr w:type="gramEnd"/>
            <w:r w:rsidRPr="00E91A42">
              <w:rPr>
                <w:rFonts w:ascii="Arial" w:hAnsi="Arial" w:cs="Arial"/>
                <w:b/>
                <w:sz w:val="20"/>
              </w:rPr>
              <w:t>2023) 240;</w:t>
            </w:r>
          </w:p>
          <w:p w14:paraId="359C5816" w14:textId="77777777" w:rsidR="00662BB3" w:rsidRPr="00E91A42" w:rsidRDefault="00662BB3" w:rsidP="00E15745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8"/>
              </w:tabs>
              <w:spacing w:before="126" w:line="235" w:lineRule="auto"/>
              <w:ind w:right="98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nařízení Rady, kterým se mění nařízení Rady (ES) č. 1467/97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urychlení a vyjasnění postupu při nadměrném schodku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– </w:t>
            </w:r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COM(</w:t>
            </w:r>
            <w:proofErr w:type="gramEnd"/>
            <w:r w:rsidRPr="00E91A42">
              <w:rPr>
                <w:rFonts w:ascii="Arial" w:hAnsi="Arial" w:cs="Arial"/>
                <w:b/>
                <w:sz w:val="20"/>
              </w:rPr>
              <w:t>2023) 241;</w:t>
            </w:r>
          </w:p>
          <w:p w14:paraId="49EC0E8C" w14:textId="77777777" w:rsidR="00662BB3" w:rsidRPr="00E91A42" w:rsidRDefault="00662BB3" w:rsidP="00E15745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8"/>
              </w:tabs>
              <w:spacing w:before="121" w:line="235" w:lineRule="auto"/>
              <w:ind w:right="98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směrnice Rady, kterou se mění směrnice Rady 2011/85/EU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o požadavcích na rozpočtové rámce členských států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– </w:t>
            </w:r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COM(</w:t>
            </w:r>
            <w:proofErr w:type="gramEnd"/>
            <w:r w:rsidRPr="00E91A42">
              <w:rPr>
                <w:rFonts w:ascii="Arial" w:hAnsi="Arial" w:cs="Arial"/>
                <w:b/>
                <w:sz w:val="20"/>
              </w:rPr>
              <w:t>2023) 242.</w:t>
            </w:r>
          </w:p>
        </w:tc>
        <w:tc>
          <w:tcPr>
            <w:tcW w:w="9356" w:type="dxa"/>
          </w:tcPr>
          <w:p w14:paraId="7FF6E06E" w14:textId="77777777" w:rsidR="00662BB3" w:rsidRPr="00E91A42" w:rsidRDefault="00662BB3" w:rsidP="00E15745">
            <w:pPr>
              <w:pStyle w:val="TableParagraph"/>
              <w:spacing w:before="120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Pokud jde o racionalizaci požadavků na podávání zpráv, tyto návrhy nahradí některé zatěžující každoroční povinnosti podávat zprávy Komisi střednědobými fiskálně-strukturálními plány a jednoduchou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výroční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zprávou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pokroku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668B32BD" w14:textId="77777777" w:rsidTr="00E15745">
        <w:trPr>
          <w:trHeight w:val="1389"/>
        </w:trPr>
        <w:tc>
          <w:tcPr>
            <w:tcW w:w="566" w:type="dxa"/>
          </w:tcPr>
          <w:p w14:paraId="30D74F79" w14:textId="77777777" w:rsidR="00662BB3" w:rsidRPr="00E91A42" w:rsidRDefault="00662BB3" w:rsidP="00E15745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8.</w:t>
            </w:r>
          </w:p>
        </w:tc>
        <w:tc>
          <w:tcPr>
            <w:tcW w:w="4822" w:type="dxa"/>
          </w:tcPr>
          <w:p w14:paraId="4F109D30" w14:textId="77777777" w:rsidR="00662BB3" w:rsidRPr="00E91A42" w:rsidRDefault="00662BB3" w:rsidP="00E15745">
            <w:pPr>
              <w:pStyle w:val="TableParagraph"/>
              <w:spacing w:before="120"/>
              <w:ind w:left="111" w:right="95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nařízení Evropského parlamentu a Rady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detergentech a povrchově aktivních látkách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, o změně nařízení (EU) 2019/1020 a o zrušení nařízení (ES) č. 648/2004 – </w:t>
            </w:r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COM(</w:t>
            </w:r>
            <w:proofErr w:type="gramEnd"/>
            <w:r w:rsidRPr="00E91A42">
              <w:rPr>
                <w:rFonts w:ascii="Arial" w:hAnsi="Arial" w:cs="Arial"/>
                <w:b/>
                <w:sz w:val="20"/>
              </w:rPr>
              <w:t>2023) 217</w:t>
            </w:r>
          </w:p>
        </w:tc>
        <w:tc>
          <w:tcPr>
            <w:tcW w:w="9356" w:type="dxa"/>
          </w:tcPr>
          <w:p w14:paraId="4B6B182C" w14:textId="77777777" w:rsidR="00662BB3" w:rsidRPr="00E91A42" w:rsidRDefault="00662BB3" w:rsidP="00E15745">
            <w:pPr>
              <w:pStyle w:val="TableParagraph"/>
              <w:spacing w:before="120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Návrh zjednoduší a digitalizuje požadavky na podávání zpráv, zejména zavedením digitálního pasu výrobku a datového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listu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složek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nebezpečných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látek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566975DE" w14:textId="77777777" w:rsidTr="00E15745">
        <w:trPr>
          <w:trHeight w:val="1161"/>
        </w:trPr>
        <w:tc>
          <w:tcPr>
            <w:tcW w:w="566" w:type="dxa"/>
          </w:tcPr>
          <w:p w14:paraId="052665F0" w14:textId="77777777" w:rsidR="00662BB3" w:rsidRPr="00E91A42" w:rsidRDefault="00662BB3" w:rsidP="00E15745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9.</w:t>
            </w:r>
          </w:p>
        </w:tc>
        <w:tc>
          <w:tcPr>
            <w:tcW w:w="4822" w:type="dxa"/>
          </w:tcPr>
          <w:p w14:paraId="2D216388" w14:textId="77777777" w:rsidR="00662BB3" w:rsidRPr="00E91A42" w:rsidRDefault="00662BB3" w:rsidP="00E15745">
            <w:pPr>
              <w:pStyle w:val="TableParagraph"/>
              <w:spacing w:before="120"/>
              <w:ind w:left="111" w:right="94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nařízení Evropského parlamentu a Rady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bezpečnosti hraček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a o zrušení směrnice 2009/48/ES – </w:t>
            </w:r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COM(</w:t>
            </w:r>
            <w:proofErr w:type="gramEnd"/>
            <w:r w:rsidRPr="00E91A42">
              <w:rPr>
                <w:rFonts w:ascii="Arial" w:hAnsi="Arial" w:cs="Arial"/>
                <w:b/>
                <w:sz w:val="20"/>
              </w:rPr>
              <w:t>2023) 462</w:t>
            </w:r>
          </w:p>
        </w:tc>
        <w:tc>
          <w:tcPr>
            <w:tcW w:w="9356" w:type="dxa"/>
          </w:tcPr>
          <w:p w14:paraId="74F42CD9" w14:textId="77777777" w:rsidR="00662BB3" w:rsidRPr="00E91A42" w:rsidRDefault="00662BB3" w:rsidP="00E15745">
            <w:pPr>
              <w:pStyle w:val="TableParagraph"/>
              <w:spacing w:before="120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Návrh počítá s digitalizací podávání zpráv a prohlášení o shodě (digitální pas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výrobku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) pro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hračky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6DBBB5D" w14:textId="77777777" w:rsidR="00662BB3" w:rsidRPr="00E91A42" w:rsidRDefault="00662BB3" w:rsidP="00662BB3">
      <w:pPr>
        <w:rPr>
          <w:rFonts w:ascii="Arial" w:hAnsi="Arial" w:cs="Arial"/>
          <w:sz w:val="20"/>
        </w:rPr>
        <w:sectPr w:rsidR="00662BB3" w:rsidRPr="00E91A42">
          <w:pgSz w:w="16840" w:h="11910" w:orient="landscape"/>
          <w:pgMar w:top="820" w:right="840" w:bottom="740" w:left="940" w:header="0" w:footer="541" w:gutter="0"/>
          <w:cols w:space="708"/>
        </w:sectPr>
      </w:pPr>
    </w:p>
    <w:p w14:paraId="56AF9FF9" w14:textId="77777777" w:rsidR="00662BB3" w:rsidRPr="00E91A42" w:rsidRDefault="00662BB3" w:rsidP="00662BB3">
      <w:pPr>
        <w:pStyle w:val="Zkladntext"/>
        <w:spacing w:before="2"/>
        <w:rPr>
          <w:rFonts w:ascii="Arial" w:hAnsi="Arial" w:cs="Arial"/>
          <w:sz w:val="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2"/>
        <w:gridCol w:w="9356"/>
      </w:tblGrid>
      <w:tr w:rsidR="00662BB3" w:rsidRPr="00E91A42" w14:paraId="785DA0EC" w14:textId="77777777" w:rsidTr="00E15745">
        <w:trPr>
          <w:trHeight w:val="470"/>
        </w:trPr>
        <w:tc>
          <w:tcPr>
            <w:tcW w:w="566" w:type="dxa"/>
            <w:shd w:val="clear" w:color="auto" w:fill="99CCFF"/>
          </w:tcPr>
          <w:p w14:paraId="2A98EE59" w14:textId="77777777" w:rsidR="00662BB3" w:rsidRPr="00E91A42" w:rsidRDefault="00662BB3" w:rsidP="00E15745">
            <w:pPr>
              <w:pStyle w:val="TableParagraph"/>
              <w:spacing w:before="120"/>
              <w:ind w:left="91" w:right="85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5"/>
                <w:sz w:val="20"/>
              </w:rPr>
              <w:t>Ne.</w:t>
            </w:r>
          </w:p>
        </w:tc>
        <w:tc>
          <w:tcPr>
            <w:tcW w:w="4822" w:type="dxa"/>
            <w:shd w:val="clear" w:color="auto" w:fill="99CCFF"/>
          </w:tcPr>
          <w:p w14:paraId="47FC8C78" w14:textId="77777777" w:rsidR="00662BB3" w:rsidRPr="00E91A42" w:rsidRDefault="00662BB3" w:rsidP="00E15745">
            <w:pPr>
              <w:pStyle w:val="TableParagraph"/>
              <w:spacing w:before="120"/>
              <w:ind w:left="12" w:right="5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Titul</w:t>
            </w:r>
          </w:p>
        </w:tc>
        <w:tc>
          <w:tcPr>
            <w:tcW w:w="9356" w:type="dxa"/>
            <w:shd w:val="clear" w:color="auto" w:fill="99CCFF"/>
          </w:tcPr>
          <w:p w14:paraId="3EA5C404" w14:textId="77777777" w:rsidR="00662BB3" w:rsidRPr="00E91A42" w:rsidRDefault="00662BB3" w:rsidP="00E15745">
            <w:pPr>
              <w:pStyle w:val="TableParagraph"/>
              <w:spacing w:before="120"/>
              <w:ind w:left="13" w:right="4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Popis</w:t>
            </w:r>
          </w:p>
        </w:tc>
      </w:tr>
      <w:tr w:rsidR="00662BB3" w:rsidRPr="00E91A42" w14:paraId="64D7F774" w14:textId="77777777" w:rsidTr="00E15745">
        <w:trPr>
          <w:trHeight w:val="1619"/>
        </w:trPr>
        <w:tc>
          <w:tcPr>
            <w:tcW w:w="566" w:type="dxa"/>
          </w:tcPr>
          <w:p w14:paraId="3AF364E9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10.</w:t>
            </w:r>
          </w:p>
        </w:tc>
        <w:tc>
          <w:tcPr>
            <w:tcW w:w="4822" w:type="dxa"/>
          </w:tcPr>
          <w:p w14:paraId="26731D22" w14:textId="77777777" w:rsidR="00662BB3" w:rsidRPr="00E91A42" w:rsidRDefault="00662BB3" w:rsidP="00E15745">
            <w:pPr>
              <w:pStyle w:val="TableParagraph"/>
              <w:spacing w:before="120"/>
              <w:ind w:left="111" w:right="92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nařízení Evropského parlamentu a Rady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využívání kapacity železniční infrastruktury v jednotném evropském železničním prostoru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, o změně směrnice 2012/34/EU a o zrušení nařízení (EU) č. 913/2010 – </w:t>
            </w:r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COM(</w:t>
            </w:r>
            <w:proofErr w:type="gramEnd"/>
            <w:r w:rsidRPr="00E91A42">
              <w:rPr>
                <w:rFonts w:ascii="Arial" w:hAnsi="Arial" w:cs="Arial"/>
                <w:b/>
                <w:sz w:val="20"/>
              </w:rPr>
              <w:t>2023) 443/2</w:t>
            </w:r>
          </w:p>
        </w:tc>
        <w:tc>
          <w:tcPr>
            <w:tcW w:w="9356" w:type="dxa"/>
          </w:tcPr>
          <w:p w14:paraId="293156B4" w14:textId="77777777" w:rsidR="00662BB3" w:rsidRPr="00E91A42" w:rsidRDefault="00662BB3" w:rsidP="00E15745">
            <w:pPr>
              <w:pStyle w:val="TableParagraph"/>
              <w:spacing w:before="120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Návrh zefektivňuje oznamovací povinnosti a snižuje objem podávání zpráv díky harmonizovanému právnímu rámci pro železniční kapacitu a řízení dopravy a zrušení koridorů pro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železniční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nákladní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dopravu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4867B5EE" w14:textId="77777777" w:rsidTr="00E15745">
        <w:trPr>
          <w:trHeight w:val="1850"/>
        </w:trPr>
        <w:tc>
          <w:tcPr>
            <w:tcW w:w="566" w:type="dxa"/>
          </w:tcPr>
          <w:p w14:paraId="4C3D0298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11.</w:t>
            </w:r>
          </w:p>
        </w:tc>
        <w:tc>
          <w:tcPr>
            <w:tcW w:w="4822" w:type="dxa"/>
          </w:tcPr>
          <w:p w14:paraId="5B9958CF" w14:textId="77777777" w:rsidR="00662BB3" w:rsidRPr="00E91A42" w:rsidRDefault="00662BB3" w:rsidP="00E15745">
            <w:pPr>
              <w:pStyle w:val="TableParagraph"/>
              <w:spacing w:before="120"/>
              <w:ind w:left="111" w:right="95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směrnice Evropského parlamentu a Rady, kterou se mění směrnice Rady 96/53/ES, kterou se stanoví pro některá silniční vozidla provozovaná ve Společenství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maximální přípustné rozměry pro vnitrostátní a mezinárodní dopravu a maximální přípustné hmotnosti v mezinárodní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doprav</w:t>
            </w:r>
            <w:r w:rsidRPr="00E91A42">
              <w:rPr>
                <w:rFonts w:ascii="Arial" w:hAnsi="Arial" w:cs="Arial"/>
                <w:b/>
                <w:sz w:val="20"/>
              </w:rPr>
              <w:t>ě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– </w:t>
            </w:r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COM(</w:t>
            </w:r>
            <w:proofErr w:type="gramEnd"/>
            <w:r w:rsidRPr="00E91A42">
              <w:rPr>
                <w:rFonts w:ascii="Arial" w:hAnsi="Arial" w:cs="Arial"/>
                <w:b/>
                <w:sz w:val="20"/>
              </w:rPr>
              <w:t>2023) 445/2</w:t>
            </w:r>
          </w:p>
        </w:tc>
        <w:tc>
          <w:tcPr>
            <w:tcW w:w="9356" w:type="dxa"/>
          </w:tcPr>
          <w:p w14:paraId="24F0E401" w14:textId="77777777" w:rsidR="00662BB3" w:rsidRPr="00E91A42" w:rsidRDefault="00662BB3" w:rsidP="00E15745">
            <w:pPr>
              <w:pStyle w:val="TableParagraph"/>
              <w:spacing w:before="120"/>
              <w:ind w:left="108" w:right="76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Návrh zahrnuje digitalizaci požadavků na dokumentaci, jakož i zefektivnění a digitalizaci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přenosu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některých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přepravních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dat.</w:t>
            </w:r>
          </w:p>
        </w:tc>
      </w:tr>
      <w:tr w:rsidR="00662BB3" w:rsidRPr="00E91A42" w14:paraId="0E259814" w14:textId="77777777" w:rsidTr="00E15745">
        <w:trPr>
          <w:trHeight w:val="928"/>
        </w:trPr>
        <w:tc>
          <w:tcPr>
            <w:tcW w:w="566" w:type="dxa"/>
          </w:tcPr>
          <w:p w14:paraId="4DBB54CF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12.</w:t>
            </w:r>
          </w:p>
        </w:tc>
        <w:tc>
          <w:tcPr>
            <w:tcW w:w="4822" w:type="dxa"/>
          </w:tcPr>
          <w:p w14:paraId="26B171E0" w14:textId="77777777" w:rsidR="00662BB3" w:rsidRPr="00E91A42" w:rsidRDefault="00662BB3" w:rsidP="00E15745">
            <w:pPr>
              <w:pStyle w:val="TableParagraph"/>
              <w:spacing w:before="120"/>
              <w:ind w:left="111" w:right="96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směrnice Evropského parlamentu a Rady, kterou se mění směrnice 2009/16/ES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státní přístavní inspekci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– </w:t>
            </w:r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COM(</w:t>
            </w:r>
            <w:proofErr w:type="gramEnd"/>
            <w:r w:rsidRPr="00E91A42">
              <w:rPr>
                <w:rFonts w:ascii="Arial" w:hAnsi="Arial" w:cs="Arial"/>
                <w:b/>
                <w:sz w:val="20"/>
              </w:rPr>
              <w:t>2023) 271</w:t>
            </w:r>
          </w:p>
        </w:tc>
        <w:tc>
          <w:tcPr>
            <w:tcW w:w="9356" w:type="dxa"/>
          </w:tcPr>
          <w:p w14:paraId="006A6EB4" w14:textId="77777777" w:rsidR="00662BB3" w:rsidRPr="00E91A42" w:rsidRDefault="00662BB3" w:rsidP="00E15745">
            <w:pPr>
              <w:pStyle w:val="TableParagraph"/>
              <w:spacing w:before="120"/>
              <w:ind w:left="108" w:right="96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Odhaduje se, že revize směrnice o státní přístavní inspekci povede k úsporám administrativních nákladů pro provozovatele, zástupce nebo velitele lodi, kteří jsou způsobilí pro rozšířenou inspekci, a to díky zrušení povinnosti podávat zprávy 72 hodin předem.</w:t>
            </w:r>
          </w:p>
        </w:tc>
      </w:tr>
      <w:tr w:rsidR="00662BB3" w:rsidRPr="00E91A42" w14:paraId="51195083" w14:textId="77777777" w:rsidTr="00E15745">
        <w:trPr>
          <w:trHeight w:val="5201"/>
        </w:trPr>
        <w:tc>
          <w:tcPr>
            <w:tcW w:w="566" w:type="dxa"/>
          </w:tcPr>
          <w:p w14:paraId="534802F2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13.</w:t>
            </w:r>
          </w:p>
        </w:tc>
        <w:tc>
          <w:tcPr>
            <w:tcW w:w="4822" w:type="dxa"/>
          </w:tcPr>
          <w:p w14:paraId="0CA5CE6E" w14:textId="77777777" w:rsidR="00662BB3" w:rsidRPr="00E91A42" w:rsidRDefault="00662BB3" w:rsidP="00E15745">
            <w:pPr>
              <w:pStyle w:val="TableParagraph"/>
              <w:spacing w:before="120"/>
              <w:ind w:left="111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Reforma celního kodexu Unie</w:t>
            </w:r>
            <w:r w:rsidRPr="00E91A42">
              <w:rPr>
                <w:rFonts w:ascii="Arial" w:hAnsi="Arial" w:cs="Arial"/>
                <w:b/>
                <w:sz w:val="20"/>
              </w:rPr>
              <w:t>:</w:t>
            </w:r>
          </w:p>
          <w:p w14:paraId="4FECF8EC" w14:textId="77777777" w:rsidR="00662BB3" w:rsidRPr="00E91A42" w:rsidRDefault="00662BB3" w:rsidP="00E15745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8"/>
              </w:tabs>
              <w:spacing w:before="124" w:line="235" w:lineRule="auto"/>
              <w:ind w:right="97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nařízení Evropského parlamentu a Rady, kterým se stanoví celní kodex Unie a celní orgán Evropské unie a zrušuje nařízení (EU) č. 952/2013 – </w:t>
            </w:r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COM(</w:t>
            </w:r>
            <w:proofErr w:type="gramEnd"/>
            <w:r w:rsidRPr="00E91A42">
              <w:rPr>
                <w:rFonts w:ascii="Arial" w:hAnsi="Arial" w:cs="Arial"/>
                <w:b/>
                <w:sz w:val="20"/>
              </w:rPr>
              <w:t>2023) 258;</w:t>
            </w:r>
          </w:p>
          <w:p w14:paraId="511660F5" w14:textId="77777777" w:rsidR="00662BB3" w:rsidRPr="00E91A42" w:rsidRDefault="00662BB3" w:rsidP="00E15745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8"/>
              </w:tabs>
              <w:spacing w:before="124" w:line="237" w:lineRule="auto"/>
              <w:ind w:right="97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nařízení Rady, kterým se mění nařízení (EHS) č. 2658/87, pokud jde o zavedení zjednodušeného sazebního zacházení pro prodej zboží na dálku, a nařízení (ES) č. 1186/2009, pokud jde o zrušení prahové hodnoty pro osvobození od cla – </w:t>
            </w:r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COM(</w:t>
            </w:r>
            <w:proofErr w:type="gramEnd"/>
            <w:r w:rsidRPr="00E91A42">
              <w:rPr>
                <w:rFonts w:ascii="Arial" w:hAnsi="Arial" w:cs="Arial"/>
                <w:b/>
                <w:sz w:val="20"/>
              </w:rPr>
              <w:t>2023) 259;</w:t>
            </w:r>
          </w:p>
          <w:p w14:paraId="62926E12" w14:textId="77777777" w:rsidR="00662BB3" w:rsidRPr="00E91A42" w:rsidRDefault="00662BB3" w:rsidP="00E15745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8"/>
              </w:tabs>
              <w:spacing w:before="118" w:line="237" w:lineRule="auto"/>
              <w:ind w:right="94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směrnice Rady, kterou se mění směrnice 2006/112/ES, pokud jde o pravidla DPH týkající se osob povinných k dani, které usnadňují prodej dováženého zboží na dálku, a uplatňování zvláštního režimu pro prodej zboží dováženého na dálku ze třetích území nebo třetích zemí a zvláštní režim pro přiznání a platbu dovozní DPH – </w:t>
            </w:r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COM(</w:t>
            </w:r>
            <w:proofErr w:type="gramEnd"/>
            <w:r w:rsidRPr="00E91A42">
              <w:rPr>
                <w:rFonts w:ascii="Arial" w:hAnsi="Arial" w:cs="Arial"/>
                <w:b/>
                <w:sz w:val="20"/>
              </w:rPr>
              <w:t>2023) 262.</w:t>
            </w:r>
          </w:p>
        </w:tc>
        <w:tc>
          <w:tcPr>
            <w:tcW w:w="9356" w:type="dxa"/>
          </w:tcPr>
          <w:p w14:paraId="269584ED" w14:textId="77777777" w:rsidR="00662BB3" w:rsidRPr="00E91A42" w:rsidRDefault="00662BB3" w:rsidP="00E15745">
            <w:pPr>
              <w:pStyle w:val="TableParagraph"/>
              <w:spacing w:before="120"/>
              <w:ind w:left="108" w:right="92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Navrhovaná reforma zjednodušuje a racionalizuje požadavky hospodářských subjektů na vykazování cel a DPH, například zkrácením doby potřebné k dokončení dovozních procesů a poskytnutím jednotného rozhraní EU a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usnadněním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opakovaného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použití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údajů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53329851" w14:textId="77777777" w:rsidR="00662BB3" w:rsidRPr="00E91A42" w:rsidRDefault="00662BB3" w:rsidP="00662BB3">
      <w:pPr>
        <w:jc w:val="both"/>
        <w:rPr>
          <w:rFonts w:ascii="Arial" w:hAnsi="Arial" w:cs="Arial"/>
          <w:sz w:val="20"/>
        </w:rPr>
        <w:sectPr w:rsidR="00662BB3" w:rsidRPr="00E91A42">
          <w:pgSz w:w="16840" w:h="11910" w:orient="landscape"/>
          <w:pgMar w:top="820" w:right="840" w:bottom="740" w:left="940" w:header="0" w:footer="541" w:gutter="0"/>
          <w:cols w:space="708"/>
        </w:sectPr>
      </w:pPr>
    </w:p>
    <w:p w14:paraId="570A3663" w14:textId="77777777" w:rsidR="00662BB3" w:rsidRPr="00E91A42" w:rsidRDefault="00662BB3" w:rsidP="00662BB3">
      <w:pPr>
        <w:pStyle w:val="Zkladntext"/>
        <w:spacing w:before="2"/>
        <w:rPr>
          <w:rFonts w:ascii="Arial" w:hAnsi="Arial" w:cs="Arial"/>
          <w:sz w:val="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2"/>
        <w:gridCol w:w="9356"/>
      </w:tblGrid>
      <w:tr w:rsidR="00662BB3" w:rsidRPr="00E91A42" w14:paraId="5904C5BF" w14:textId="77777777" w:rsidTr="00E15745">
        <w:trPr>
          <w:trHeight w:val="470"/>
        </w:trPr>
        <w:tc>
          <w:tcPr>
            <w:tcW w:w="566" w:type="dxa"/>
            <w:shd w:val="clear" w:color="auto" w:fill="99CCFF"/>
          </w:tcPr>
          <w:p w14:paraId="3DD5616F" w14:textId="77777777" w:rsidR="00662BB3" w:rsidRPr="00E91A42" w:rsidRDefault="00662BB3" w:rsidP="00E15745">
            <w:pPr>
              <w:pStyle w:val="TableParagraph"/>
              <w:spacing w:before="120"/>
              <w:ind w:left="134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5"/>
                <w:sz w:val="20"/>
              </w:rPr>
              <w:t>Ne.</w:t>
            </w:r>
          </w:p>
        </w:tc>
        <w:tc>
          <w:tcPr>
            <w:tcW w:w="4822" w:type="dxa"/>
            <w:shd w:val="clear" w:color="auto" w:fill="99CCFF"/>
          </w:tcPr>
          <w:p w14:paraId="3E07C7A0" w14:textId="77777777" w:rsidR="00662BB3" w:rsidRPr="00E91A42" w:rsidRDefault="00662BB3" w:rsidP="00E15745">
            <w:pPr>
              <w:pStyle w:val="TableParagraph"/>
              <w:spacing w:before="120"/>
              <w:ind w:left="12" w:right="5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Titul</w:t>
            </w:r>
          </w:p>
        </w:tc>
        <w:tc>
          <w:tcPr>
            <w:tcW w:w="9356" w:type="dxa"/>
            <w:shd w:val="clear" w:color="auto" w:fill="99CCFF"/>
          </w:tcPr>
          <w:p w14:paraId="4B8218F8" w14:textId="77777777" w:rsidR="00662BB3" w:rsidRPr="00E91A42" w:rsidRDefault="00662BB3" w:rsidP="00E15745">
            <w:pPr>
              <w:pStyle w:val="TableParagraph"/>
              <w:spacing w:before="120"/>
              <w:ind w:left="13" w:right="4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Popis</w:t>
            </w:r>
          </w:p>
        </w:tc>
      </w:tr>
      <w:tr w:rsidR="00662BB3" w:rsidRPr="00E91A42" w14:paraId="767D1B28" w14:textId="77777777" w:rsidTr="00E15745">
        <w:trPr>
          <w:trHeight w:val="1850"/>
        </w:trPr>
        <w:tc>
          <w:tcPr>
            <w:tcW w:w="566" w:type="dxa"/>
          </w:tcPr>
          <w:p w14:paraId="2723208E" w14:textId="77777777" w:rsidR="00662BB3" w:rsidRPr="00E91A42" w:rsidRDefault="00662BB3" w:rsidP="00E15745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14.</w:t>
            </w:r>
          </w:p>
        </w:tc>
        <w:tc>
          <w:tcPr>
            <w:tcW w:w="4822" w:type="dxa"/>
          </w:tcPr>
          <w:p w14:paraId="09A4BE35" w14:textId="77777777" w:rsidR="00662BB3" w:rsidRPr="00E91A42" w:rsidRDefault="00662BB3" w:rsidP="00E15745">
            <w:pPr>
              <w:pStyle w:val="TableParagraph"/>
              <w:spacing w:before="120"/>
              <w:ind w:left="111" w:right="94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Prováděcí nařízení Komise (EU) 2023/1451 ze dne 13. července 2023, kterým se mění prováděcí nařízení 2020/2002, pokud jde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hlášení nákaz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a informace, které mají členské státy předkládat pro schvalování a podávání zpráv povinných a volitelných eradikačních programů a v žádostech o status </w:t>
            </w: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území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prostého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nákazy</w:t>
            </w:r>
            <w:proofErr w:type="spellEnd"/>
          </w:p>
        </w:tc>
        <w:tc>
          <w:tcPr>
            <w:tcW w:w="9356" w:type="dxa"/>
          </w:tcPr>
          <w:p w14:paraId="1021A9D5" w14:textId="77777777" w:rsidR="00662BB3" w:rsidRPr="00E91A42" w:rsidRDefault="00662BB3" w:rsidP="00E15745">
            <w:pPr>
              <w:pStyle w:val="TableParagraph"/>
              <w:spacing w:before="120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Prováděcí nařízení týkající se nákaz zvířat zahrnuje odstranění jiných než podstatných prvků hlášení a vyjasnění některých klíčových definic.</w:t>
            </w:r>
          </w:p>
        </w:tc>
      </w:tr>
      <w:tr w:rsidR="00662BB3" w:rsidRPr="00E91A42" w14:paraId="62C7A009" w14:textId="77777777" w:rsidTr="00E15745">
        <w:trPr>
          <w:trHeight w:val="4390"/>
        </w:trPr>
        <w:tc>
          <w:tcPr>
            <w:tcW w:w="566" w:type="dxa"/>
          </w:tcPr>
          <w:p w14:paraId="3887B203" w14:textId="77777777" w:rsidR="00662BB3" w:rsidRPr="00E91A42" w:rsidRDefault="00662BB3" w:rsidP="00E15745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15.</w:t>
            </w:r>
          </w:p>
        </w:tc>
        <w:tc>
          <w:tcPr>
            <w:tcW w:w="4822" w:type="dxa"/>
          </w:tcPr>
          <w:p w14:paraId="48C4E6E5" w14:textId="77777777" w:rsidR="00662BB3" w:rsidRPr="00E91A42" w:rsidRDefault="00662BB3" w:rsidP="00E15745">
            <w:pPr>
              <w:pStyle w:val="TableParagraph"/>
              <w:spacing w:before="120"/>
              <w:ind w:left="111" w:right="97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Návrh reformy obecných farmaceutických právních předpisů Unie</w:t>
            </w:r>
            <w:r w:rsidRPr="00E91A42">
              <w:rPr>
                <w:rFonts w:ascii="Arial" w:hAnsi="Arial" w:cs="Arial"/>
                <w:b/>
                <w:sz w:val="20"/>
              </w:rPr>
              <w:t>:</w:t>
            </w:r>
          </w:p>
          <w:p w14:paraId="44DAB5CF" w14:textId="77777777" w:rsidR="00662BB3" w:rsidRPr="00E91A42" w:rsidRDefault="00662BB3" w:rsidP="00E15745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8"/>
              </w:tabs>
              <w:spacing w:before="121" w:line="237" w:lineRule="auto"/>
              <w:ind w:right="95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nařízení Evropského parlamentu a Rady, kterým se stanoví postupy Unie pro registraci humánních léčivých přípravků a dozor nad nimi a kterým se stanoví pravidla pro Evropskou agenturu pro léčivé přípravky, mění nařízení (ES) č. 1394/2007 a nařízení (EU) č. 536/2014 a zrušují nařízení (ES) č. 726/2004, nařízení (ES) č. 141/2000 a nařízení (ES) č. 1901/2006 – </w:t>
            </w:r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COM(</w:t>
            </w:r>
            <w:proofErr w:type="gramEnd"/>
            <w:r w:rsidRPr="00E91A42">
              <w:rPr>
                <w:rFonts w:ascii="Arial" w:hAnsi="Arial" w:cs="Arial"/>
                <w:b/>
                <w:sz w:val="20"/>
              </w:rPr>
              <w:t>2023) 193;</w:t>
            </w:r>
          </w:p>
          <w:p w14:paraId="157D9F24" w14:textId="77777777" w:rsidR="00662BB3" w:rsidRPr="00E91A42" w:rsidRDefault="00662BB3" w:rsidP="00E15745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8"/>
              </w:tabs>
              <w:spacing w:before="127" w:line="235" w:lineRule="auto"/>
              <w:ind w:right="95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směrnice Evropského parlamentu a Rady o kodexu Unie týkajícím se humánních léčivých přípravků a o zrušení směrnice 2001/83/ES – </w:t>
            </w:r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COM(</w:t>
            </w:r>
            <w:proofErr w:type="gramEnd"/>
            <w:r w:rsidRPr="00E91A42">
              <w:rPr>
                <w:rFonts w:ascii="Arial" w:hAnsi="Arial" w:cs="Arial"/>
                <w:b/>
                <w:sz w:val="20"/>
              </w:rPr>
              <w:t>2023) 192.</w:t>
            </w:r>
          </w:p>
        </w:tc>
        <w:tc>
          <w:tcPr>
            <w:tcW w:w="9356" w:type="dxa"/>
          </w:tcPr>
          <w:p w14:paraId="0F4EF2DC" w14:textId="77777777" w:rsidR="00662BB3" w:rsidRPr="00E91A42" w:rsidRDefault="00662BB3" w:rsidP="00E15745">
            <w:pPr>
              <w:pStyle w:val="TableParagraph"/>
              <w:spacing w:before="120"/>
              <w:ind w:left="108" w:right="95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Revidovaný rámec zahrnuje odstranění některých požadavků na podávání zpráv, jako je každoroční požadavek, aby vývojáři léčivých přípravků pro vzácná onemocnění předkládali Evropské agentuře pro léčivé přípravky zprávu o stavu vývoje léčivých přípravků pro vzácná onemocnění nebo pro děti; požadavek, aby členské státy podávaly zprávy o vnitrostátních opatřeních na podporu výzkumu, vývoje a dostupnosti léčivých přípravků pro vzácná onemocnění nebo pro děti; požadavek na poskytnutí informací pro soupis terapeutických potřeb; požadavek, aby členské státy podávaly zprávy o případech, kdy upustily od určitých požadavků na výrobu; požadavek, aby členské státy oznamovaly změny provedené v seznamu registrovaných léčivých přípravků podléhajících omezení výdeje na lékařský předpis. Stanoví rovněž snížení četnosti podávání zpráv o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auditech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systému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farmakovigilance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5DFDE46F" w14:textId="77777777" w:rsidTr="00E15745">
        <w:trPr>
          <w:trHeight w:val="510"/>
        </w:trPr>
        <w:tc>
          <w:tcPr>
            <w:tcW w:w="14744" w:type="dxa"/>
            <w:gridSpan w:val="3"/>
            <w:shd w:val="clear" w:color="auto" w:fill="0D4193"/>
          </w:tcPr>
          <w:p w14:paraId="1F53695D" w14:textId="77777777" w:rsidR="00662BB3" w:rsidRPr="00E91A42" w:rsidRDefault="00662BB3" w:rsidP="00E15745">
            <w:pPr>
              <w:pStyle w:val="TableParagraph"/>
              <w:spacing w:before="53"/>
              <w:ind w:left="575"/>
              <w:rPr>
                <w:rFonts w:ascii="Arial" w:hAnsi="Arial" w:cs="Arial"/>
                <w:b/>
                <w:sz w:val="18"/>
              </w:rPr>
            </w:pPr>
            <w:r w:rsidRPr="00E91A42">
              <w:rPr>
                <w:rFonts w:ascii="Arial" w:hAnsi="Arial" w:cs="Arial"/>
                <w:b/>
                <w:color w:val="FFFFFF"/>
                <w:sz w:val="20"/>
              </w:rPr>
              <w:t xml:space="preserve">Oddíl B – Další návrhy a iniciativy k racionalizaci požadavků na podávání zpráv, které Komise přijala spolu s pracovním programem a po něm </w:t>
            </w:r>
            <w:r w:rsidRPr="00E91A42">
              <w:rPr>
                <w:rFonts w:ascii="Arial" w:hAnsi="Arial" w:cs="Arial"/>
                <w:b/>
                <w:color w:val="FFFFFF"/>
                <w:spacing w:val="-10"/>
                <w:position w:val="10"/>
                <w:sz w:val="18"/>
                <w:u w:val="single" w:color="FFFFFF"/>
              </w:rPr>
              <w:t>3</w:t>
            </w:r>
          </w:p>
        </w:tc>
      </w:tr>
      <w:tr w:rsidR="00662BB3" w:rsidRPr="00E91A42" w14:paraId="78C10573" w14:textId="77777777" w:rsidTr="00E15745">
        <w:trPr>
          <w:trHeight w:val="1860"/>
        </w:trPr>
        <w:tc>
          <w:tcPr>
            <w:tcW w:w="566" w:type="dxa"/>
          </w:tcPr>
          <w:p w14:paraId="70315362" w14:textId="77777777" w:rsidR="00662BB3" w:rsidRPr="00E91A42" w:rsidRDefault="00662BB3" w:rsidP="00E15745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1.</w:t>
            </w:r>
          </w:p>
        </w:tc>
        <w:tc>
          <w:tcPr>
            <w:tcW w:w="4822" w:type="dxa"/>
          </w:tcPr>
          <w:p w14:paraId="2F58C75F" w14:textId="77777777" w:rsidR="00662BB3" w:rsidRPr="00E91A42" w:rsidRDefault="00662BB3" w:rsidP="00E15745">
            <w:pPr>
              <w:pStyle w:val="TableParagraph"/>
              <w:spacing w:before="120"/>
              <w:ind w:left="111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>Návrh nařízení, kterým se mění:</w:t>
            </w:r>
          </w:p>
          <w:p w14:paraId="7BE54938" w14:textId="77777777" w:rsidR="00662BB3" w:rsidRPr="00E91A42" w:rsidRDefault="00662BB3" w:rsidP="00E15745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  <w:tab w:val="left" w:pos="394"/>
              </w:tabs>
              <w:spacing w:before="125" w:line="232" w:lineRule="auto"/>
              <w:ind w:right="96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nařízení (EU) č. 1379/2013 o společné organizaci trhů s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produkty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rybolovu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a </w:t>
            </w:r>
            <w:proofErr w:type="spellStart"/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akvakultury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>;</w:t>
            </w:r>
            <w:proofErr w:type="gramEnd"/>
          </w:p>
          <w:p w14:paraId="2636F503" w14:textId="77777777" w:rsidR="00662BB3" w:rsidRPr="00E91A42" w:rsidRDefault="00662BB3" w:rsidP="00E15745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  <w:tab w:val="left" w:pos="394"/>
              </w:tabs>
              <w:spacing w:before="133" w:line="223" w:lineRule="auto"/>
              <w:ind w:right="100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nařízení č. 167/2013 o schvalování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zemědělských a lesnických vozidel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a dozoru nad trhem s nimi,</w:t>
            </w:r>
          </w:p>
        </w:tc>
        <w:tc>
          <w:tcPr>
            <w:tcW w:w="9356" w:type="dxa"/>
          </w:tcPr>
          <w:p w14:paraId="25623DBF" w14:textId="77777777" w:rsidR="00662BB3" w:rsidRPr="00E91A42" w:rsidRDefault="00662BB3" w:rsidP="00E15745">
            <w:pPr>
              <w:pStyle w:val="TableParagraph"/>
              <w:spacing w:before="120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Návrh obsahuje opatření, která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racionalizují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oznamovací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povinnosti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prostřednictvím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:</w:t>
            </w:r>
          </w:p>
          <w:p w14:paraId="44E79111" w14:textId="77777777" w:rsidR="00662BB3" w:rsidRPr="00E91A42" w:rsidRDefault="00662BB3" w:rsidP="00E15745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before="121"/>
              <w:ind w:right="104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odstranění některých stávajících požadavků na podávání zpráv o normách pro uvádění rybích produktů na trh, které již nejsou nutné z důvodu překrývání s jinými legislativními opatřeními,</w:t>
            </w:r>
          </w:p>
          <w:p w14:paraId="02B51A5D" w14:textId="77777777" w:rsidR="00662BB3" w:rsidRPr="00E91A42" w:rsidRDefault="00662BB3" w:rsidP="00E15745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before="120"/>
              <w:ind w:right="97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Odstranění podávání zpráv o uplatňování postupů schvalování typu a schvalování jednotlivých vozidel pro zemědělská a lesnická vozidla a čtyřkolky. Podávání zpráv již není nutné na základě studie Komise z roku 2022, která dospěla k závěru, že schválení typu a individuální schválení</w:t>
            </w:r>
          </w:p>
        </w:tc>
      </w:tr>
    </w:tbl>
    <w:p w14:paraId="1FFAF84E" w14:textId="77777777" w:rsidR="00662BB3" w:rsidRPr="00E91A42" w:rsidRDefault="00662BB3" w:rsidP="00662BB3">
      <w:pPr>
        <w:pStyle w:val="Zkladntext"/>
        <w:spacing w:before="69"/>
        <w:rPr>
          <w:rFonts w:ascii="Arial" w:hAnsi="Arial" w:cs="Arial"/>
        </w:rPr>
      </w:pPr>
      <w:r w:rsidRPr="00E91A4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0B96D20" wp14:editId="249C4E6D">
                <wp:simplePos x="0" y="0"/>
                <wp:positionH relativeFrom="page">
                  <wp:posOffset>719327</wp:posOffset>
                </wp:positionH>
                <wp:positionV relativeFrom="paragraph">
                  <wp:posOffset>205309</wp:posOffset>
                </wp:positionV>
                <wp:extent cx="1829435" cy="762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Graphic 6" style="position:absolute;margin-left:56.65pt;margin-top:16.15pt;width:144.05pt;height:.6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spid="_x0000_s1026" fillcolor="black" stroked="f" path="m1829054,l,,,7619r1829054,l182905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" w14:anchorId="5B1C4FA3">
                <v:path arrowok="t"/>
                <w10:wrap type="topAndBottom" anchorx="page"/>
              </v:shape>
            </w:pict>
          </mc:Fallback>
        </mc:AlternateContent>
      </w:r>
    </w:p>
    <w:p w14:paraId="7A14858D" w14:textId="77777777" w:rsidR="00662BB3" w:rsidRPr="00E91A42" w:rsidRDefault="00662BB3" w:rsidP="00662BB3">
      <w:pPr>
        <w:pStyle w:val="Zkladntext"/>
        <w:spacing w:before="103"/>
        <w:ind w:left="192"/>
        <w:rPr>
          <w:rFonts w:ascii="Arial" w:hAnsi="Arial" w:cs="Arial"/>
        </w:rPr>
      </w:pPr>
      <w:r w:rsidRPr="00E91A42">
        <w:rPr>
          <w:rFonts w:ascii="Arial" w:hAnsi="Arial" w:cs="Arial"/>
          <w:vertAlign w:val="superscript"/>
        </w:rPr>
        <w:t xml:space="preserve">3 </w:t>
      </w:r>
      <w:r w:rsidRPr="00E91A42">
        <w:rPr>
          <w:rFonts w:ascii="Arial" w:hAnsi="Arial" w:cs="Arial"/>
        </w:rPr>
        <w:t xml:space="preserve">V rámci pracovního programu Komise na rok 2024 se přijímá značný počet návrhů. Ty, které budou přijaty </w:t>
      </w:r>
      <w:proofErr w:type="spellStart"/>
      <w:r w:rsidRPr="00E91A42">
        <w:rPr>
          <w:rFonts w:ascii="Arial" w:hAnsi="Arial" w:cs="Arial"/>
        </w:rPr>
        <w:t>později</w:t>
      </w:r>
      <w:proofErr w:type="spellEnd"/>
      <w:r w:rsidRPr="00E91A42">
        <w:rPr>
          <w:rFonts w:ascii="Arial" w:hAnsi="Arial" w:cs="Arial"/>
        </w:rPr>
        <w:t xml:space="preserve">, </w:t>
      </w:r>
      <w:proofErr w:type="spellStart"/>
      <w:r w:rsidRPr="00E91A42">
        <w:rPr>
          <w:rFonts w:ascii="Arial" w:hAnsi="Arial" w:cs="Arial"/>
        </w:rPr>
        <w:t>jsou</w:t>
      </w:r>
      <w:proofErr w:type="spellEnd"/>
      <w:r w:rsidRPr="00E91A42">
        <w:rPr>
          <w:rFonts w:ascii="Arial" w:hAnsi="Arial" w:cs="Arial"/>
        </w:rPr>
        <w:t xml:space="preserve"> </w:t>
      </w:r>
      <w:proofErr w:type="spellStart"/>
      <w:r w:rsidRPr="00E91A42">
        <w:rPr>
          <w:rFonts w:ascii="Arial" w:hAnsi="Arial" w:cs="Arial"/>
        </w:rPr>
        <w:t>označeny</w:t>
      </w:r>
      <w:proofErr w:type="spellEnd"/>
      <w:r w:rsidRPr="00E91A42">
        <w:rPr>
          <w:rFonts w:ascii="Arial" w:hAnsi="Arial" w:cs="Arial"/>
        </w:rPr>
        <w:t xml:space="preserve"> "*".</w:t>
      </w:r>
    </w:p>
    <w:p w14:paraId="00545B6D" w14:textId="77777777" w:rsidR="00662BB3" w:rsidRPr="00E91A42" w:rsidRDefault="00662BB3" w:rsidP="00662BB3">
      <w:pPr>
        <w:rPr>
          <w:rFonts w:ascii="Arial" w:hAnsi="Arial" w:cs="Arial"/>
        </w:rPr>
        <w:sectPr w:rsidR="00662BB3" w:rsidRPr="00E91A42">
          <w:pgSz w:w="16840" w:h="11910" w:orient="landscape"/>
          <w:pgMar w:top="820" w:right="840" w:bottom="740" w:left="940" w:header="0" w:footer="541" w:gutter="0"/>
          <w:cols w:space="708"/>
        </w:sectPr>
      </w:pPr>
    </w:p>
    <w:p w14:paraId="3F4418F9" w14:textId="77777777" w:rsidR="00662BB3" w:rsidRPr="00E91A42" w:rsidRDefault="00662BB3" w:rsidP="00662BB3">
      <w:pPr>
        <w:pStyle w:val="Zkladntext"/>
        <w:spacing w:before="2"/>
        <w:rPr>
          <w:rFonts w:ascii="Arial" w:hAnsi="Arial" w:cs="Arial"/>
          <w:sz w:val="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2"/>
        <w:gridCol w:w="9356"/>
      </w:tblGrid>
      <w:tr w:rsidR="00662BB3" w:rsidRPr="00E91A42" w14:paraId="04D51EA6" w14:textId="77777777" w:rsidTr="00E15745">
        <w:trPr>
          <w:trHeight w:val="470"/>
        </w:trPr>
        <w:tc>
          <w:tcPr>
            <w:tcW w:w="566" w:type="dxa"/>
            <w:shd w:val="clear" w:color="auto" w:fill="99CCFF"/>
          </w:tcPr>
          <w:p w14:paraId="327EE106" w14:textId="77777777" w:rsidR="00662BB3" w:rsidRPr="00E91A42" w:rsidRDefault="00662BB3" w:rsidP="00E15745">
            <w:pPr>
              <w:pStyle w:val="TableParagraph"/>
              <w:spacing w:before="120"/>
              <w:ind w:left="134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5"/>
                <w:sz w:val="20"/>
              </w:rPr>
              <w:t>Ne.</w:t>
            </w:r>
          </w:p>
        </w:tc>
        <w:tc>
          <w:tcPr>
            <w:tcW w:w="4822" w:type="dxa"/>
            <w:shd w:val="clear" w:color="auto" w:fill="99CCFF"/>
          </w:tcPr>
          <w:p w14:paraId="488B7FDE" w14:textId="77777777" w:rsidR="00662BB3" w:rsidRPr="00E91A42" w:rsidRDefault="00662BB3" w:rsidP="00E15745">
            <w:pPr>
              <w:pStyle w:val="TableParagraph"/>
              <w:spacing w:before="120"/>
              <w:ind w:left="12" w:right="5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Titul</w:t>
            </w:r>
          </w:p>
        </w:tc>
        <w:tc>
          <w:tcPr>
            <w:tcW w:w="9356" w:type="dxa"/>
            <w:shd w:val="clear" w:color="auto" w:fill="99CCFF"/>
          </w:tcPr>
          <w:p w14:paraId="2AB53593" w14:textId="77777777" w:rsidR="00662BB3" w:rsidRPr="00E91A42" w:rsidRDefault="00662BB3" w:rsidP="00E15745">
            <w:pPr>
              <w:pStyle w:val="TableParagraph"/>
              <w:spacing w:before="120"/>
              <w:ind w:left="13" w:right="4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Popis</w:t>
            </w:r>
          </w:p>
        </w:tc>
      </w:tr>
      <w:tr w:rsidR="00662BB3" w:rsidRPr="00E91A42" w14:paraId="4BB6B379" w14:textId="77777777" w:rsidTr="00E15745">
        <w:trPr>
          <w:trHeight w:val="808"/>
        </w:trPr>
        <w:tc>
          <w:tcPr>
            <w:tcW w:w="566" w:type="dxa"/>
          </w:tcPr>
          <w:p w14:paraId="7F057C66" w14:textId="77777777" w:rsidR="00662BB3" w:rsidRPr="00E91A42" w:rsidRDefault="00662BB3" w:rsidP="00E15745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4822" w:type="dxa"/>
          </w:tcPr>
          <w:p w14:paraId="10825ACE" w14:textId="77777777" w:rsidR="00662BB3" w:rsidRPr="00E91A42" w:rsidRDefault="00662BB3" w:rsidP="00E15745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  <w:tab w:val="left" w:pos="394"/>
              </w:tabs>
              <w:spacing w:before="7" w:line="230" w:lineRule="auto"/>
              <w:ind w:right="95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Nařízení č. 168/2013 o schvalování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dvoukolových a tříkolových vozidel a čtyřkolek a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dozoru nad trhem.</w:t>
            </w:r>
          </w:p>
        </w:tc>
        <w:tc>
          <w:tcPr>
            <w:tcW w:w="9356" w:type="dxa"/>
          </w:tcPr>
          <w:p w14:paraId="73E24D26" w14:textId="77777777" w:rsidR="00662BB3" w:rsidRPr="00E91A42" w:rsidRDefault="00662BB3" w:rsidP="00E15745">
            <w:pPr>
              <w:pStyle w:val="TableParagraph"/>
              <w:spacing w:before="0"/>
              <w:ind w:left="336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postupy jsou uspokojivé.</w:t>
            </w:r>
          </w:p>
        </w:tc>
      </w:tr>
      <w:tr w:rsidR="00662BB3" w:rsidRPr="00E91A42" w14:paraId="0ED15E82" w14:textId="77777777" w:rsidTr="00E15745">
        <w:trPr>
          <w:trHeight w:val="2484"/>
        </w:trPr>
        <w:tc>
          <w:tcPr>
            <w:tcW w:w="566" w:type="dxa"/>
          </w:tcPr>
          <w:p w14:paraId="3B100EC9" w14:textId="77777777" w:rsidR="00662BB3" w:rsidRPr="00E91A42" w:rsidRDefault="00662BB3" w:rsidP="00E15745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2.</w:t>
            </w:r>
          </w:p>
        </w:tc>
        <w:tc>
          <w:tcPr>
            <w:tcW w:w="4822" w:type="dxa"/>
          </w:tcPr>
          <w:p w14:paraId="72140916" w14:textId="77777777" w:rsidR="00662BB3" w:rsidRPr="00E91A42" w:rsidRDefault="00662BB3" w:rsidP="00E15745">
            <w:pPr>
              <w:pStyle w:val="TableParagraph"/>
              <w:spacing w:before="120"/>
              <w:ind w:left="111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>Návrh nařízení, kterým se mění:</w:t>
            </w:r>
          </w:p>
          <w:p w14:paraId="05AD898E" w14:textId="77777777" w:rsidR="00662BB3" w:rsidRPr="00E91A42" w:rsidRDefault="00662BB3" w:rsidP="00E15745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  <w:tab w:val="left" w:pos="394"/>
              </w:tabs>
              <w:spacing w:before="132" w:line="223" w:lineRule="auto"/>
              <w:ind w:right="99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nařízení č. 80/2009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kodexu chování pro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používání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počítačových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rezervačních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spellStart"/>
            <w:proofErr w:type="gram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systémů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>;</w:t>
            </w:r>
            <w:proofErr w:type="gramEnd"/>
          </w:p>
          <w:p w14:paraId="6D82CA1A" w14:textId="77777777" w:rsidR="00662BB3" w:rsidRPr="00E91A42" w:rsidRDefault="00662BB3" w:rsidP="00E15745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  <w:tab w:val="left" w:pos="394"/>
              </w:tabs>
              <w:spacing w:before="137" w:line="223" w:lineRule="auto"/>
              <w:ind w:right="97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nařízení č. 165/2014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tachografech v silniční </w:t>
            </w:r>
            <w:proofErr w:type="gram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dopravě</w:t>
            </w:r>
            <w:r w:rsidRPr="00E91A42">
              <w:rPr>
                <w:rFonts w:ascii="Arial" w:hAnsi="Arial" w:cs="Arial"/>
                <w:b/>
                <w:sz w:val="20"/>
              </w:rPr>
              <w:t>;</w:t>
            </w:r>
            <w:proofErr w:type="gramEnd"/>
          </w:p>
          <w:p w14:paraId="4D902627" w14:textId="77777777" w:rsidR="00662BB3" w:rsidRPr="00E91A42" w:rsidRDefault="00662BB3" w:rsidP="00E15745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  <w:tab w:val="left" w:pos="394"/>
              </w:tabs>
              <w:spacing w:before="127" w:line="232" w:lineRule="auto"/>
              <w:ind w:right="99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Nařízení č. 996/2010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o vyšetřování a prevenci nehod a incidentů v civilním letectví</w:t>
            </w:r>
            <w:r w:rsidRPr="00E91A42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356" w:type="dxa"/>
          </w:tcPr>
          <w:p w14:paraId="2E1496C9" w14:textId="77777777" w:rsidR="00662BB3" w:rsidRPr="00E91A42" w:rsidRDefault="00662BB3" w:rsidP="00E15745">
            <w:pPr>
              <w:pStyle w:val="TableParagraph"/>
              <w:spacing w:before="120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Návrh obsahuje opatření k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racionalizaci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oznamovacích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povinností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prostřednictvím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:</w:t>
            </w:r>
          </w:p>
          <w:p w14:paraId="66E97715" w14:textId="77777777" w:rsidR="00662BB3" w:rsidRPr="00E91A42" w:rsidRDefault="00662BB3" w:rsidP="00E15745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120"/>
              <w:ind w:right="95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zrušení povinnosti předkládat auditované zprávy prodejců počítačových rezervačních systémů a požadavku, aby prodejci informovali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Komisi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totožnosti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auditora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,</w:t>
            </w:r>
          </w:p>
          <w:p w14:paraId="258A4735" w14:textId="77777777" w:rsidR="00662BB3" w:rsidRPr="00E91A42" w:rsidRDefault="00662BB3" w:rsidP="00E15745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121"/>
              <w:ind w:right="106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nahrazení výroční zprávy o montérech tachografů a dílnách zveřejněním na internetových stránkách s případnými aktualizacemi,</w:t>
            </w:r>
          </w:p>
          <w:p w14:paraId="44DA8948" w14:textId="77777777" w:rsidR="00662BB3" w:rsidRPr="00E91A42" w:rsidRDefault="00662BB3" w:rsidP="00E15745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118"/>
              <w:ind w:right="93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Zrušení povinnosti zveřejňovat výroční zprávy o vyšetřování nehod v civilním letectví, které se staly nadbytečnými s ohledem na každoroční přezkum bezpečnosti zveřejňovaný Agenturou Evropské unie pro bezpečnost letectví.</w:t>
            </w:r>
          </w:p>
        </w:tc>
      </w:tr>
      <w:tr w:rsidR="00662BB3" w:rsidRPr="00E91A42" w14:paraId="61F3D838" w14:textId="77777777" w:rsidTr="00E15745">
        <w:trPr>
          <w:trHeight w:val="930"/>
        </w:trPr>
        <w:tc>
          <w:tcPr>
            <w:tcW w:w="566" w:type="dxa"/>
          </w:tcPr>
          <w:p w14:paraId="1123626B" w14:textId="77777777" w:rsidR="00662BB3" w:rsidRPr="00E91A42" w:rsidRDefault="00662BB3" w:rsidP="00E15745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3.</w:t>
            </w:r>
          </w:p>
        </w:tc>
        <w:tc>
          <w:tcPr>
            <w:tcW w:w="4822" w:type="dxa"/>
          </w:tcPr>
          <w:p w14:paraId="15835766" w14:textId="77777777" w:rsidR="00662BB3" w:rsidRPr="00E91A42" w:rsidRDefault="00662BB3" w:rsidP="00E15745">
            <w:pPr>
              <w:pStyle w:val="TableParagraph"/>
              <w:spacing w:before="120"/>
              <w:ind w:left="111" w:right="97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nařízení, kterým se zrušuje nařízení č. 524/2013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řešení spotřebitelských sporů on-line</w:t>
            </w:r>
          </w:p>
        </w:tc>
        <w:tc>
          <w:tcPr>
            <w:tcW w:w="9356" w:type="dxa"/>
          </w:tcPr>
          <w:p w14:paraId="6ABCA431" w14:textId="77777777" w:rsidR="00662BB3" w:rsidRPr="00E91A42" w:rsidRDefault="00662BB3" w:rsidP="00E15745">
            <w:pPr>
              <w:pStyle w:val="TableParagraph"/>
              <w:spacing w:before="120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Zrušením nařízení o řešení spotřebitelských sporů on-line se odstraní související požadavky na oznamování, které již nejsou zapotřebí.</w:t>
            </w:r>
          </w:p>
        </w:tc>
      </w:tr>
      <w:tr w:rsidR="00662BB3" w:rsidRPr="00E91A42" w14:paraId="012F19CD" w14:textId="77777777" w:rsidTr="00E15745">
        <w:trPr>
          <w:trHeight w:val="3370"/>
        </w:trPr>
        <w:tc>
          <w:tcPr>
            <w:tcW w:w="566" w:type="dxa"/>
          </w:tcPr>
          <w:p w14:paraId="62BAD62D" w14:textId="77777777" w:rsidR="00662BB3" w:rsidRPr="00E91A42" w:rsidRDefault="00662BB3" w:rsidP="00E15745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4.</w:t>
            </w:r>
          </w:p>
        </w:tc>
        <w:tc>
          <w:tcPr>
            <w:tcW w:w="4822" w:type="dxa"/>
          </w:tcPr>
          <w:p w14:paraId="34B76386" w14:textId="77777777" w:rsidR="00662BB3" w:rsidRPr="00E91A42" w:rsidRDefault="00662BB3" w:rsidP="00E15745">
            <w:pPr>
              <w:pStyle w:val="TableParagraph"/>
              <w:spacing w:before="120"/>
              <w:ind w:left="111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>Návrh nařízení, kterým se mění:</w:t>
            </w:r>
          </w:p>
          <w:p w14:paraId="7A71EA16" w14:textId="77777777" w:rsidR="00662BB3" w:rsidRPr="00E91A42" w:rsidRDefault="00662BB3" w:rsidP="00E15745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  <w:tab w:val="left" w:pos="394"/>
              </w:tabs>
              <w:spacing w:before="128" w:line="225" w:lineRule="auto"/>
              <w:ind w:right="95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nařízení č. 1093/2010, kterým se zřizuje Evropský orgán pro </w:t>
            </w:r>
            <w:proofErr w:type="gram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bankovnictví;</w:t>
            </w:r>
            <w:proofErr w:type="gramEnd"/>
          </w:p>
          <w:p w14:paraId="7F2E4919" w14:textId="77777777" w:rsidR="00662BB3" w:rsidRPr="00E91A42" w:rsidRDefault="00662BB3" w:rsidP="00E15745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  <w:tab w:val="left" w:pos="394"/>
              </w:tabs>
              <w:spacing w:before="134" w:line="223" w:lineRule="auto"/>
              <w:ind w:right="95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nařízení č. 1094/2010, kterým se zřizuje Evropský orgán pro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pojišťovnictví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a zaměstnanecké penzijní pojištění,</w:t>
            </w:r>
          </w:p>
          <w:p w14:paraId="2DB72EB5" w14:textId="77777777" w:rsidR="00662BB3" w:rsidRPr="00E91A42" w:rsidRDefault="00662BB3" w:rsidP="00E15745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  <w:tab w:val="left" w:pos="394"/>
              </w:tabs>
              <w:spacing w:before="136" w:line="223" w:lineRule="auto"/>
              <w:ind w:right="95"/>
              <w:rPr>
                <w:rFonts w:ascii="Arial" w:hAnsi="Arial" w:cs="Arial"/>
                <w:b/>
                <w:sz w:val="20"/>
                <w:highlight w:val="green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nařízení č. 1095/2010 o zřízení Evropského orgánu pro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cenné papíry a trhy,</w:t>
            </w:r>
          </w:p>
          <w:p w14:paraId="67879B83" w14:textId="77777777" w:rsidR="00662BB3" w:rsidRPr="00E91A42" w:rsidRDefault="00662BB3" w:rsidP="00E15745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  <w:tab w:val="left" w:pos="394"/>
              </w:tabs>
              <w:spacing w:before="134" w:line="223" w:lineRule="auto"/>
              <w:ind w:right="99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>nařízení č. 1092/2010, kterým se zřizuje Evropská rada pro systémová rizika,</w:t>
            </w:r>
          </w:p>
          <w:p w14:paraId="5865CE8C" w14:textId="77777777" w:rsidR="00662BB3" w:rsidRPr="00E91A42" w:rsidRDefault="00662BB3" w:rsidP="00E15745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  <w:tab w:val="left" w:pos="394"/>
              </w:tabs>
              <w:spacing w:before="135" w:line="225" w:lineRule="auto"/>
              <w:ind w:right="101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Nařízení 2021/523, kterým se </w:t>
            </w: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zavádí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Program </w:t>
            </w: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InvestEU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356" w:type="dxa"/>
          </w:tcPr>
          <w:p w14:paraId="54B1C885" w14:textId="77777777" w:rsidR="00662BB3" w:rsidRPr="00E91A42" w:rsidRDefault="00662BB3" w:rsidP="00E15745">
            <w:pPr>
              <w:pStyle w:val="TableParagraph"/>
              <w:spacing w:before="120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Návrh zjednodušuje požadavky na podávání zpráv prostřednictvím:</w:t>
            </w:r>
          </w:p>
          <w:p w14:paraId="4366733A" w14:textId="77777777" w:rsidR="00662BB3" w:rsidRPr="00E91A42" w:rsidRDefault="00662BB3" w:rsidP="00E15745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before="118"/>
              <w:ind w:right="91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Usnadnění sdílení údajů mezi evropskými orgány dohledu a dalšími orgány finančního sektoru a omezení nových požadavků na podávání zpráv. To podpoří účinnější sběr údajů a zamezení dvojímu oznamování, což bude mít přímý přínos pro evropské a vnitrostátní orgány a nepřímý přínos pro subjekty finančního sektoru, které musí poskytovat </w:t>
            </w:r>
            <w:proofErr w:type="gramStart"/>
            <w:r w:rsidRPr="00E91A42">
              <w:rPr>
                <w:rFonts w:ascii="Arial" w:hAnsi="Arial" w:cs="Arial"/>
                <w:sz w:val="20"/>
              </w:rPr>
              <w:t>informace;</w:t>
            </w:r>
            <w:proofErr w:type="gramEnd"/>
          </w:p>
          <w:p w14:paraId="4C5F5AE6" w14:textId="77777777" w:rsidR="00662BB3" w:rsidRPr="00E91A42" w:rsidRDefault="00662BB3" w:rsidP="00E15745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before="121"/>
              <w:ind w:right="99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Snížení četnosti podávání zpráv prováděcím partnerům InvestEU z každých 6 měsíců na jednou ročně u většiny prvků požadavků na podávání zpráv. Tím se sníží administrativní zátěž prováděcích partnerů, a tedy nepřímo i podniků a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malých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středních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podniků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58C87EAB" w14:textId="77777777" w:rsidTr="00E15745">
        <w:trPr>
          <w:trHeight w:val="1158"/>
        </w:trPr>
        <w:tc>
          <w:tcPr>
            <w:tcW w:w="566" w:type="dxa"/>
          </w:tcPr>
          <w:p w14:paraId="06FD84B3" w14:textId="77777777" w:rsidR="00662BB3" w:rsidRPr="00E91A42" w:rsidRDefault="00662BB3" w:rsidP="00E15745">
            <w:pPr>
              <w:pStyle w:val="TableParagraph"/>
              <w:spacing w:before="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5.</w:t>
            </w:r>
          </w:p>
        </w:tc>
        <w:tc>
          <w:tcPr>
            <w:tcW w:w="4822" w:type="dxa"/>
          </w:tcPr>
          <w:p w14:paraId="46D8757C" w14:textId="77777777" w:rsidR="00662BB3" w:rsidRPr="00E91A42" w:rsidRDefault="00662BB3" w:rsidP="00E15745">
            <w:pPr>
              <w:pStyle w:val="TableParagraph"/>
              <w:spacing w:before="120"/>
              <w:ind w:left="111" w:right="94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nařízení, kterým se mění nařízení 2016/1011 o indexech používaných jako referenční hodnoty ve finančních nástrojích a finančních smlouvách nebo pro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měření výkonnosti investičních fondů</w:t>
            </w:r>
          </w:p>
        </w:tc>
        <w:tc>
          <w:tcPr>
            <w:tcW w:w="9356" w:type="dxa"/>
          </w:tcPr>
          <w:p w14:paraId="791FECB3" w14:textId="77777777" w:rsidR="00662BB3" w:rsidRPr="00E91A42" w:rsidRDefault="00662BB3" w:rsidP="00E15745">
            <w:pPr>
              <w:pStyle w:val="TableParagraph"/>
              <w:spacing w:before="120"/>
              <w:ind w:left="108" w:right="95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Návrh omezuje oblast působnosti nařízení o referenčních hodnotách tím, že se zaměřuje na referenční hodnoty se značným významem. To tedy příslušným administrátorům poskytne okamžitou úlevu od organizačních požadavků a požadavků na podávání zpráv o referenčních hodnotách, které již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nespadají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oblasti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působnosti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3A4EAEE9" w14:textId="77777777" w:rsidTr="00E15745">
        <w:trPr>
          <w:trHeight w:val="834"/>
        </w:trPr>
        <w:tc>
          <w:tcPr>
            <w:tcW w:w="566" w:type="dxa"/>
          </w:tcPr>
          <w:p w14:paraId="1EB058D7" w14:textId="77777777" w:rsidR="00662BB3" w:rsidRPr="00E91A42" w:rsidRDefault="00662BB3" w:rsidP="00E91A42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6.</w:t>
            </w:r>
          </w:p>
        </w:tc>
        <w:tc>
          <w:tcPr>
            <w:tcW w:w="4822" w:type="dxa"/>
          </w:tcPr>
          <w:p w14:paraId="6E4CE71A" w14:textId="77777777" w:rsidR="00662BB3" w:rsidRPr="00E91A42" w:rsidRDefault="00662BB3" w:rsidP="00E91A42">
            <w:pPr>
              <w:pStyle w:val="TableParagraph"/>
              <w:ind w:left="111" w:right="97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nařízení, kterým se mění nařízení 2016/2031 o ochranných opatřeních proti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škodlivým organismům</w:t>
            </w:r>
          </w:p>
        </w:tc>
        <w:tc>
          <w:tcPr>
            <w:tcW w:w="9356" w:type="dxa"/>
          </w:tcPr>
          <w:p w14:paraId="174AB6BA" w14:textId="77777777" w:rsidR="00662BB3" w:rsidRPr="00E91A42" w:rsidRDefault="00662BB3" w:rsidP="00E91A42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Navrhované změny sníží zátěž spojenou s oznamovací povinností prostřednictvím:</w:t>
            </w:r>
          </w:p>
          <w:p w14:paraId="2850AECD" w14:textId="77777777" w:rsidR="00662BB3" w:rsidRPr="00E91A42" w:rsidRDefault="00662BB3" w:rsidP="00E91A42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ind w:left="335" w:hanging="227"/>
              <w:rPr>
                <w:rFonts w:ascii="Arial" w:hAnsi="Arial" w:cs="Arial"/>
                <w:sz w:val="20"/>
              </w:rPr>
            </w:pPr>
            <w:proofErr w:type="spellStart"/>
            <w:r w:rsidRPr="00E91A42">
              <w:rPr>
                <w:rFonts w:ascii="Arial" w:hAnsi="Arial" w:cs="Arial"/>
                <w:sz w:val="20"/>
              </w:rPr>
              <w:t>digitalizace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podávání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zpráv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vnitrostátními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orgány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výsledcích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víceletých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průzkumů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škodlivých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organismů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,</w:t>
            </w:r>
          </w:p>
        </w:tc>
      </w:tr>
    </w:tbl>
    <w:p w14:paraId="77990293" w14:textId="77777777" w:rsidR="00662BB3" w:rsidRPr="00E91A42" w:rsidRDefault="00662BB3" w:rsidP="00662BB3">
      <w:pPr>
        <w:rPr>
          <w:rFonts w:ascii="Arial" w:hAnsi="Arial" w:cs="Arial"/>
          <w:sz w:val="20"/>
        </w:rPr>
        <w:sectPr w:rsidR="00662BB3" w:rsidRPr="00E91A42">
          <w:pgSz w:w="16840" w:h="11910" w:orient="landscape"/>
          <w:pgMar w:top="820" w:right="840" w:bottom="740" w:left="940" w:header="0" w:footer="541" w:gutter="0"/>
          <w:cols w:space="708"/>
        </w:sectPr>
      </w:pPr>
    </w:p>
    <w:p w14:paraId="4404AAC0" w14:textId="77777777" w:rsidR="00662BB3" w:rsidRPr="00E91A42" w:rsidRDefault="00662BB3" w:rsidP="00662BB3">
      <w:pPr>
        <w:pStyle w:val="Zkladntext"/>
        <w:spacing w:before="2"/>
        <w:rPr>
          <w:rFonts w:ascii="Arial" w:hAnsi="Arial" w:cs="Arial"/>
          <w:sz w:val="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2"/>
        <w:gridCol w:w="9356"/>
      </w:tblGrid>
      <w:tr w:rsidR="00662BB3" w:rsidRPr="00E91A42" w14:paraId="3BF3DB1B" w14:textId="77777777" w:rsidTr="00E15745">
        <w:trPr>
          <w:trHeight w:val="470"/>
        </w:trPr>
        <w:tc>
          <w:tcPr>
            <w:tcW w:w="566" w:type="dxa"/>
            <w:shd w:val="clear" w:color="auto" w:fill="99CCFF"/>
          </w:tcPr>
          <w:p w14:paraId="02177094" w14:textId="77777777" w:rsidR="00662BB3" w:rsidRPr="00E91A42" w:rsidRDefault="00662BB3" w:rsidP="00E15745">
            <w:pPr>
              <w:pStyle w:val="TableParagraph"/>
              <w:spacing w:before="120"/>
              <w:ind w:left="134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5"/>
                <w:sz w:val="20"/>
              </w:rPr>
              <w:t>Ne.</w:t>
            </w:r>
          </w:p>
        </w:tc>
        <w:tc>
          <w:tcPr>
            <w:tcW w:w="4822" w:type="dxa"/>
            <w:shd w:val="clear" w:color="auto" w:fill="99CCFF"/>
          </w:tcPr>
          <w:p w14:paraId="584695A9" w14:textId="77777777" w:rsidR="00662BB3" w:rsidRPr="00E91A42" w:rsidRDefault="00662BB3" w:rsidP="00E15745">
            <w:pPr>
              <w:pStyle w:val="TableParagraph"/>
              <w:spacing w:before="120"/>
              <w:ind w:left="12" w:right="5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Titul</w:t>
            </w:r>
          </w:p>
        </w:tc>
        <w:tc>
          <w:tcPr>
            <w:tcW w:w="9356" w:type="dxa"/>
            <w:shd w:val="clear" w:color="auto" w:fill="99CCFF"/>
          </w:tcPr>
          <w:p w14:paraId="26E86192" w14:textId="77777777" w:rsidR="00662BB3" w:rsidRPr="00E91A42" w:rsidRDefault="00662BB3" w:rsidP="00E15745">
            <w:pPr>
              <w:pStyle w:val="TableParagraph"/>
              <w:spacing w:before="120"/>
              <w:ind w:left="13" w:right="4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Popis</w:t>
            </w:r>
          </w:p>
        </w:tc>
      </w:tr>
      <w:tr w:rsidR="00662BB3" w:rsidRPr="00E91A42" w14:paraId="0ACB503C" w14:textId="77777777" w:rsidTr="00E15745">
        <w:trPr>
          <w:trHeight w:val="726"/>
        </w:trPr>
        <w:tc>
          <w:tcPr>
            <w:tcW w:w="566" w:type="dxa"/>
          </w:tcPr>
          <w:p w14:paraId="15297613" w14:textId="77777777" w:rsidR="00662BB3" w:rsidRPr="00E91A42" w:rsidRDefault="00662BB3" w:rsidP="00E15745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4822" w:type="dxa"/>
          </w:tcPr>
          <w:p w14:paraId="72A37384" w14:textId="77777777" w:rsidR="00662BB3" w:rsidRPr="00E91A42" w:rsidRDefault="00662BB3" w:rsidP="00E15745">
            <w:pPr>
              <w:pStyle w:val="TableParagraph"/>
              <w:spacing w:before="0"/>
              <w:ind w:left="111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rostliny</w:t>
            </w:r>
          </w:p>
        </w:tc>
        <w:tc>
          <w:tcPr>
            <w:tcW w:w="9356" w:type="dxa"/>
          </w:tcPr>
          <w:p w14:paraId="03938D23" w14:textId="77777777" w:rsidR="00662BB3" w:rsidRPr="00E91A42" w:rsidRDefault="00662BB3" w:rsidP="00E15745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0"/>
              <w:ind w:left="335" w:hanging="22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snížení četnosti podávání zpráv od vnitrostátních orgánů v souvislosti s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víceletými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programy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průzkumů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,</w:t>
            </w:r>
          </w:p>
          <w:p w14:paraId="4E9A26B2" w14:textId="77777777" w:rsidR="00662BB3" w:rsidRPr="00E91A42" w:rsidRDefault="00662BB3" w:rsidP="00E15745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120"/>
              <w:ind w:left="335" w:hanging="22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Odstranění hlášení, které již není nutné pro vnitrostátní opatření přijatá proti některým škodlivým organismům.</w:t>
            </w:r>
          </w:p>
        </w:tc>
      </w:tr>
      <w:tr w:rsidR="00662BB3" w:rsidRPr="00E91A42" w14:paraId="7E3C7EB2" w14:textId="77777777" w:rsidTr="00E15745">
        <w:trPr>
          <w:trHeight w:val="3710"/>
        </w:trPr>
        <w:tc>
          <w:tcPr>
            <w:tcW w:w="566" w:type="dxa"/>
          </w:tcPr>
          <w:p w14:paraId="34D1D1E8" w14:textId="77777777" w:rsidR="00662BB3" w:rsidRPr="00E91A42" w:rsidRDefault="00662BB3" w:rsidP="00E15745">
            <w:pPr>
              <w:pStyle w:val="TableParagraph"/>
              <w:spacing w:before="122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7.</w:t>
            </w:r>
          </w:p>
        </w:tc>
        <w:tc>
          <w:tcPr>
            <w:tcW w:w="4822" w:type="dxa"/>
          </w:tcPr>
          <w:p w14:paraId="706E8F63" w14:textId="77777777" w:rsidR="00662BB3" w:rsidRPr="00E91A42" w:rsidRDefault="00662BB3" w:rsidP="00E15745">
            <w:pPr>
              <w:pStyle w:val="TableParagraph"/>
              <w:spacing w:before="122"/>
              <w:ind w:left="111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>Návrh směrnice, kterou se mění:</w:t>
            </w:r>
          </w:p>
          <w:p w14:paraId="5C7FCE90" w14:textId="77777777" w:rsidR="00662BB3" w:rsidRPr="00E91A42" w:rsidRDefault="00662BB3" w:rsidP="00E15745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  <w:tab w:val="left" w:pos="394"/>
              </w:tabs>
              <w:spacing w:before="130" w:line="223" w:lineRule="auto"/>
              <w:ind w:right="98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směrnice 2011/24/EU o uplatňování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práv pacientů v přeshraniční zdravotní péči,</w:t>
            </w:r>
          </w:p>
          <w:p w14:paraId="2E243F0F" w14:textId="77777777" w:rsidR="00662BB3" w:rsidRPr="00E91A42" w:rsidRDefault="00662BB3" w:rsidP="00E15745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  <w:tab w:val="left" w:pos="394"/>
              </w:tabs>
              <w:spacing w:before="130" w:line="232" w:lineRule="auto"/>
              <w:ind w:right="98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směrnice 1999/2/ES o sbližování právních předpisů členských států týkajících se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potravin a složek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potravin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ošetřených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ionizujícím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zářením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,</w:t>
            </w:r>
          </w:p>
          <w:p w14:paraId="3F93E6A2" w14:textId="77777777" w:rsidR="00662BB3" w:rsidRPr="00E91A42" w:rsidRDefault="00662BB3" w:rsidP="00E15745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  <w:tab w:val="left" w:pos="394"/>
              </w:tabs>
              <w:spacing w:before="123" w:line="232" w:lineRule="auto"/>
              <w:ind w:right="98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směrnice 2014/53/EU o harmonizaci právních předpisů členských států týkajících se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dodávání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rádiových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zařízení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na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spellStart"/>
            <w:proofErr w:type="gram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trh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>;</w:t>
            </w:r>
            <w:proofErr w:type="gramEnd"/>
          </w:p>
          <w:p w14:paraId="2803B9EE" w14:textId="77777777" w:rsidR="00662BB3" w:rsidRPr="00E91A42" w:rsidRDefault="00662BB3" w:rsidP="00E15745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  <w:tab w:val="left" w:pos="394"/>
              </w:tabs>
              <w:spacing w:before="125" w:line="232" w:lineRule="auto"/>
              <w:ind w:right="95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Směrnice 2000/14/ES o sbližování právních předpisů členských států týkajících se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emisí hluku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do životního prostředí ze zařízení určených k použití ve venkovním prostředí.</w:t>
            </w:r>
          </w:p>
        </w:tc>
        <w:tc>
          <w:tcPr>
            <w:tcW w:w="9356" w:type="dxa"/>
          </w:tcPr>
          <w:p w14:paraId="3200BA93" w14:textId="77777777" w:rsidR="00662BB3" w:rsidRPr="00E91A42" w:rsidRDefault="00662BB3" w:rsidP="00E15745">
            <w:pPr>
              <w:pStyle w:val="TableParagraph"/>
              <w:spacing w:before="122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Návrh omezí stávající oznamovací povinnosti prostřednictvím:</w:t>
            </w:r>
          </w:p>
          <w:p w14:paraId="61026E72" w14:textId="77777777" w:rsidR="00662BB3" w:rsidRPr="00E91A42" w:rsidRDefault="00662BB3" w:rsidP="00E15745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118"/>
              <w:ind w:right="96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snížení četnosti zpráv Komise o právech pacientů v přeshraniční zdravotní péči, což povede k odpovídajícímu snížení oznamovací zátěže pro vnitrostátní orgány v členských státech,</w:t>
            </w:r>
          </w:p>
          <w:p w14:paraId="3553EB79" w14:textId="77777777" w:rsidR="00662BB3" w:rsidRPr="00E91A42" w:rsidRDefault="00662BB3" w:rsidP="00E15745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121"/>
              <w:ind w:right="103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odstranění výroční zprávy o kontrolách prováděných v zařízeních na výrobu ionizujícího záření a o kontrolách ve fázi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uvádění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výrobků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na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trh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,</w:t>
            </w:r>
          </w:p>
          <w:p w14:paraId="6F7D558C" w14:textId="77777777" w:rsidR="00662BB3" w:rsidRPr="00E91A42" w:rsidRDefault="00662BB3" w:rsidP="00E15745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before="120"/>
              <w:ind w:left="335" w:hanging="22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snížení četnosti zpráv o činnostech dozoru nad trhem s rádiovými zařízeními,</w:t>
            </w:r>
          </w:p>
          <w:p w14:paraId="3647DED6" w14:textId="77777777" w:rsidR="00662BB3" w:rsidRPr="00E91A42" w:rsidRDefault="00662BB3" w:rsidP="00E15745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before="118"/>
              <w:ind w:left="335" w:hanging="22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Zrušení povinnosti předávat informace o hluku u venkovních zařízení, která jsou již stanovena označováním.</w:t>
            </w:r>
          </w:p>
        </w:tc>
      </w:tr>
      <w:tr w:rsidR="00662BB3" w:rsidRPr="00E91A42" w14:paraId="59B5CF02" w14:textId="77777777" w:rsidTr="00E15745">
        <w:trPr>
          <w:trHeight w:val="1281"/>
        </w:trPr>
        <w:tc>
          <w:tcPr>
            <w:tcW w:w="566" w:type="dxa"/>
          </w:tcPr>
          <w:p w14:paraId="71D57363" w14:textId="77777777" w:rsidR="00662BB3" w:rsidRPr="00E91A42" w:rsidRDefault="00662BB3" w:rsidP="00E15745">
            <w:pPr>
              <w:pStyle w:val="TableParagraph"/>
              <w:spacing w:before="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8.</w:t>
            </w:r>
          </w:p>
        </w:tc>
        <w:tc>
          <w:tcPr>
            <w:tcW w:w="4822" w:type="dxa"/>
          </w:tcPr>
          <w:p w14:paraId="24B89F91" w14:textId="77777777" w:rsidR="00662BB3" w:rsidRPr="00E91A42" w:rsidRDefault="00662BB3" w:rsidP="00E15745">
            <w:pPr>
              <w:pStyle w:val="TableParagraph"/>
              <w:spacing w:before="120"/>
              <w:ind w:left="111" w:right="95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rozhodnutí Evropského parlamentu a Rady, kterým se mění směrnice 2007/2/ES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zřízení Infrastruktury pro prostorové informace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v Evropském společenství (INSPIRE)</w:t>
            </w:r>
          </w:p>
        </w:tc>
        <w:tc>
          <w:tcPr>
            <w:tcW w:w="9356" w:type="dxa"/>
          </w:tcPr>
          <w:p w14:paraId="59CE483A" w14:textId="77777777" w:rsidR="00662BB3" w:rsidRPr="00E91A42" w:rsidRDefault="00662BB3" w:rsidP="00E15745">
            <w:pPr>
              <w:pStyle w:val="TableParagraph"/>
              <w:spacing w:before="120"/>
              <w:ind w:left="108" w:right="92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Návrh sníží četnost podávání zpráv z ročních na dvouleté výroční souhrnné zprávy, které připravují členské státy podle čl. 21 odst. 2 směrnice Inspire a které obsahují informace o souborech údajů uvedených v přílohách směrnice, jako jsou inženýrské sítě, umístění výrobních a průmyslových zařízení atd.</w:t>
            </w:r>
          </w:p>
        </w:tc>
      </w:tr>
      <w:tr w:rsidR="00662BB3" w:rsidRPr="00E91A42" w14:paraId="2F4F1995" w14:textId="77777777" w:rsidTr="00E15745">
        <w:trPr>
          <w:trHeight w:val="3405"/>
        </w:trPr>
        <w:tc>
          <w:tcPr>
            <w:tcW w:w="566" w:type="dxa"/>
          </w:tcPr>
          <w:p w14:paraId="2ED355D2" w14:textId="77777777" w:rsidR="00662BB3" w:rsidRPr="00E91A42" w:rsidRDefault="00662BB3" w:rsidP="00E15745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9.</w:t>
            </w:r>
          </w:p>
        </w:tc>
        <w:tc>
          <w:tcPr>
            <w:tcW w:w="4822" w:type="dxa"/>
          </w:tcPr>
          <w:p w14:paraId="7C9027CF" w14:textId="77777777" w:rsidR="00662BB3" w:rsidRPr="00E91A42" w:rsidRDefault="00662BB3" w:rsidP="00E15745">
            <w:pPr>
              <w:pStyle w:val="TableParagraph"/>
              <w:spacing w:before="120"/>
              <w:ind w:left="111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>Návrh rozhodnutí, kterým se mění:</w:t>
            </w:r>
          </w:p>
          <w:p w14:paraId="41543E30" w14:textId="77777777" w:rsidR="00662BB3" w:rsidRPr="00E91A42" w:rsidRDefault="00662BB3" w:rsidP="00E15745">
            <w:pPr>
              <w:pStyle w:val="TableParagraph"/>
              <w:spacing w:before="22"/>
              <w:ind w:left="0"/>
              <w:rPr>
                <w:rFonts w:ascii="Arial" w:hAnsi="Arial" w:cs="Arial"/>
                <w:sz w:val="20"/>
              </w:rPr>
            </w:pPr>
          </w:p>
          <w:p w14:paraId="57E2995E" w14:textId="77777777" w:rsidR="00662BB3" w:rsidRPr="00E91A42" w:rsidRDefault="00662BB3" w:rsidP="00E15745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  <w:tab w:val="left" w:pos="394"/>
              </w:tabs>
              <w:spacing w:before="0" w:line="223" w:lineRule="auto"/>
              <w:ind w:right="100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směrnice Rady 96/67/ES o přístupu na trh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pozemního odbavování na letištích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Společenství;</w:t>
            </w:r>
            <w:proofErr w:type="gramEnd"/>
          </w:p>
          <w:p w14:paraId="2B229480" w14:textId="77777777" w:rsidR="00662BB3" w:rsidRPr="00E91A42" w:rsidRDefault="00662BB3" w:rsidP="00E15745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  <w:tab w:val="left" w:pos="394"/>
              </w:tabs>
              <w:spacing w:before="127" w:line="232" w:lineRule="auto"/>
              <w:ind w:right="92"/>
              <w:jc w:val="both"/>
              <w:rPr>
                <w:rFonts w:ascii="Arial" w:hAnsi="Arial" w:cs="Arial"/>
                <w:b/>
                <w:sz w:val="20"/>
                <w:highlight w:val="green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směrnice 2009/33/ES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podpoře čistých silničních vozidel na podporu nízkoemisní </w:t>
            </w:r>
            <w:proofErr w:type="gram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mobility;</w:t>
            </w:r>
            <w:proofErr w:type="gramEnd"/>
          </w:p>
          <w:p w14:paraId="68A7B4CF" w14:textId="77777777" w:rsidR="00662BB3" w:rsidRPr="00E91A42" w:rsidRDefault="00662BB3" w:rsidP="00E15745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  <w:tab w:val="left" w:pos="394"/>
              </w:tabs>
              <w:spacing w:before="128" w:line="230" w:lineRule="auto"/>
              <w:ind w:right="101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směrnice 2022/1999 o </w:t>
            </w: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jednotných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postupech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při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kontrolách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silniční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přepravy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nebezpečných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gram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věcí</w:t>
            </w:r>
            <w:r w:rsidRPr="00E91A42">
              <w:rPr>
                <w:rFonts w:ascii="Arial" w:hAnsi="Arial" w:cs="Arial"/>
                <w:b/>
                <w:sz w:val="20"/>
              </w:rPr>
              <w:t>;</w:t>
            </w:r>
            <w:proofErr w:type="gramEnd"/>
          </w:p>
          <w:p w14:paraId="04D05FE4" w14:textId="77777777" w:rsidR="00662BB3" w:rsidRPr="00E91A42" w:rsidRDefault="00662BB3" w:rsidP="00E15745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123"/>
              <w:ind w:left="393" w:hanging="282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směrnice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2009/12/ES o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letištních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poplatcích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.</w:t>
            </w:r>
          </w:p>
        </w:tc>
        <w:tc>
          <w:tcPr>
            <w:tcW w:w="9356" w:type="dxa"/>
          </w:tcPr>
          <w:p w14:paraId="48FB5684" w14:textId="77777777" w:rsidR="00662BB3" w:rsidRPr="00E91A42" w:rsidRDefault="00662BB3" w:rsidP="00E15745">
            <w:pPr>
              <w:pStyle w:val="TableParagraph"/>
              <w:spacing w:before="120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Návrh stanoví snížení stávajících oznamovacích povinností prostřednictvím:</w:t>
            </w:r>
          </w:p>
          <w:p w14:paraId="6D32D1A1" w14:textId="77777777" w:rsidR="00662BB3" w:rsidRPr="00E91A42" w:rsidRDefault="00662BB3" w:rsidP="00E15745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120"/>
              <w:ind w:right="99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snížení četnosti podávání zpráv o letištích spadajících do oblasti působnosti a různých kategorií směrnice o pozemní odbavování,</w:t>
            </w:r>
          </w:p>
          <w:p w14:paraId="51A0F8DC" w14:textId="77777777" w:rsidR="00662BB3" w:rsidRPr="00E91A42" w:rsidRDefault="00662BB3" w:rsidP="00E15745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118"/>
              <w:ind w:right="93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snížení četnosti podávání zpráv podle směrnice o čistých vozidlech pořizovaných na podporu využívání nízkoemisní mobility,</w:t>
            </w:r>
          </w:p>
          <w:p w14:paraId="2777F501" w14:textId="77777777" w:rsidR="00662BB3" w:rsidRPr="00E91A42" w:rsidRDefault="00662BB3" w:rsidP="00E15745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spacing w:before="121"/>
              <w:ind w:left="335" w:hanging="22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zrušení nepovinného podávání zpráv o celkovém objemu nebezpečných věcí přepravovaných po silnici v členských státech,</w:t>
            </w:r>
          </w:p>
          <w:p w14:paraId="3FFEDC1D" w14:textId="77777777" w:rsidR="00662BB3" w:rsidRPr="00E91A42" w:rsidRDefault="00662BB3" w:rsidP="00E15745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120"/>
              <w:ind w:right="94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Zrušení povinnosti členských států zveřejňovat seznam letišť, na něž se vztahují pravidla o letištních poplatcích podle směrnice o letištních poplatcích a pravidla pro služby pozemního odbavování podle směrnice o službách pozemního odbavování.</w:t>
            </w:r>
          </w:p>
        </w:tc>
      </w:tr>
    </w:tbl>
    <w:p w14:paraId="2F98D9DE" w14:textId="77777777" w:rsidR="00662BB3" w:rsidRPr="00E91A42" w:rsidRDefault="00662BB3" w:rsidP="00662BB3">
      <w:pPr>
        <w:jc w:val="center"/>
        <w:rPr>
          <w:rFonts w:ascii="Arial" w:hAnsi="Arial" w:cs="Arial"/>
          <w:sz w:val="20"/>
        </w:rPr>
        <w:sectPr w:rsidR="00662BB3" w:rsidRPr="00E91A42">
          <w:pgSz w:w="16840" w:h="11910" w:orient="landscape"/>
          <w:pgMar w:top="820" w:right="840" w:bottom="740" w:left="940" w:header="0" w:footer="541" w:gutter="0"/>
          <w:cols w:space="708"/>
        </w:sectPr>
      </w:pPr>
    </w:p>
    <w:p w14:paraId="15EAF5BD" w14:textId="77777777" w:rsidR="00662BB3" w:rsidRPr="00E91A42" w:rsidRDefault="00662BB3" w:rsidP="00662BB3">
      <w:pPr>
        <w:pStyle w:val="Zkladntext"/>
        <w:spacing w:before="2"/>
        <w:rPr>
          <w:rFonts w:ascii="Arial" w:hAnsi="Arial" w:cs="Arial"/>
          <w:sz w:val="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2"/>
        <w:gridCol w:w="9356"/>
      </w:tblGrid>
      <w:tr w:rsidR="00662BB3" w:rsidRPr="00E91A42" w14:paraId="3A187FB1" w14:textId="77777777" w:rsidTr="00E15745">
        <w:trPr>
          <w:trHeight w:val="470"/>
        </w:trPr>
        <w:tc>
          <w:tcPr>
            <w:tcW w:w="566" w:type="dxa"/>
            <w:shd w:val="clear" w:color="auto" w:fill="99CCFF"/>
          </w:tcPr>
          <w:p w14:paraId="71E21033" w14:textId="77777777" w:rsidR="00662BB3" w:rsidRPr="00E91A42" w:rsidRDefault="00662BB3" w:rsidP="00E15745">
            <w:pPr>
              <w:pStyle w:val="TableParagraph"/>
              <w:spacing w:before="120"/>
              <w:ind w:left="91" w:right="85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5"/>
                <w:sz w:val="20"/>
              </w:rPr>
              <w:t>Ne.</w:t>
            </w:r>
          </w:p>
        </w:tc>
        <w:tc>
          <w:tcPr>
            <w:tcW w:w="4822" w:type="dxa"/>
            <w:shd w:val="clear" w:color="auto" w:fill="99CCFF"/>
          </w:tcPr>
          <w:p w14:paraId="08946BBE" w14:textId="77777777" w:rsidR="00662BB3" w:rsidRPr="00E91A42" w:rsidRDefault="00662BB3" w:rsidP="00E15745">
            <w:pPr>
              <w:pStyle w:val="TableParagraph"/>
              <w:spacing w:before="120"/>
              <w:ind w:left="12" w:right="5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Titul</w:t>
            </w:r>
          </w:p>
        </w:tc>
        <w:tc>
          <w:tcPr>
            <w:tcW w:w="9356" w:type="dxa"/>
            <w:shd w:val="clear" w:color="auto" w:fill="99CCFF"/>
          </w:tcPr>
          <w:p w14:paraId="40F60B33" w14:textId="77777777" w:rsidR="00662BB3" w:rsidRPr="00E91A42" w:rsidRDefault="00662BB3" w:rsidP="00E15745">
            <w:pPr>
              <w:pStyle w:val="TableParagraph"/>
              <w:spacing w:before="120"/>
              <w:ind w:left="13" w:right="4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Popis</w:t>
            </w:r>
          </w:p>
        </w:tc>
      </w:tr>
      <w:tr w:rsidR="00662BB3" w:rsidRPr="00E91A42" w14:paraId="60FD8EE1" w14:textId="77777777" w:rsidTr="00E15745">
        <w:trPr>
          <w:trHeight w:val="1499"/>
        </w:trPr>
        <w:tc>
          <w:tcPr>
            <w:tcW w:w="566" w:type="dxa"/>
          </w:tcPr>
          <w:p w14:paraId="58E76CCF" w14:textId="3DDDB92E" w:rsidR="00662BB3" w:rsidRPr="00E91A42" w:rsidRDefault="00E91A42" w:rsidP="00E91A42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4822" w:type="dxa"/>
          </w:tcPr>
          <w:p w14:paraId="4146344A" w14:textId="5E8FF949" w:rsidR="00662BB3" w:rsidRPr="00E91A42" w:rsidRDefault="00E91A42" w:rsidP="00E15745">
            <w:pPr>
              <w:pStyle w:val="TableParagraph"/>
              <w:spacing w:before="0"/>
              <w:ind w:left="111" w:right="95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Návrh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rozhodnutí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Evropského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parlamentu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662BB3" w:rsidRPr="00E91A42">
              <w:rPr>
                <w:rFonts w:ascii="Arial" w:hAnsi="Arial" w:cs="Arial"/>
                <w:b/>
                <w:sz w:val="20"/>
              </w:rPr>
              <w:t>a</w:t>
            </w:r>
            <w:proofErr w:type="gramEnd"/>
            <w:r w:rsidR="00662BB3" w:rsidRPr="00E91A42">
              <w:rPr>
                <w:rFonts w:ascii="Arial" w:hAnsi="Arial" w:cs="Arial"/>
                <w:b/>
                <w:sz w:val="20"/>
              </w:rPr>
              <w:t xml:space="preserve"> Rady, </w:t>
            </w:r>
            <w:proofErr w:type="spellStart"/>
            <w:r w:rsidR="00662BB3" w:rsidRPr="00E91A42">
              <w:rPr>
                <w:rFonts w:ascii="Arial" w:hAnsi="Arial" w:cs="Arial"/>
                <w:b/>
                <w:sz w:val="20"/>
              </w:rPr>
              <w:t>kterou</w:t>
            </w:r>
            <w:proofErr w:type="spellEnd"/>
            <w:r w:rsidR="00662BB3" w:rsidRPr="00E91A42">
              <w:rPr>
                <w:rFonts w:ascii="Arial" w:hAnsi="Arial" w:cs="Arial"/>
                <w:b/>
                <w:sz w:val="20"/>
              </w:rPr>
              <w:t xml:space="preserve"> se mění směrnice 2013/34/EU o ročních účetních závěrkách, konsolidovaných účetních závěrkách a souvisejících zprávách některých forem podniků (</w:t>
            </w:r>
            <w:r w:rsidR="00662BB3" w:rsidRPr="00E91A42">
              <w:rPr>
                <w:rFonts w:ascii="Arial" w:hAnsi="Arial" w:cs="Arial"/>
                <w:b/>
                <w:sz w:val="20"/>
                <w:highlight w:val="green"/>
              </w:rPr>
              <w:t>směrnice o účetnictv</w:t>
            </w:r>
            <w:r w:rsidR="00662BB3" w:rsidRPr="00E91A42">
              <w:rPr>
                <w:rFonts w:ascii="Arial" w:hAnsi="Arial" w:cs="Arial"/>
                <w:b/>
                <w:sz w:val="20"/>
              </w:rPr>
              <w:t>í), ve znění směrnice 2022/2464 (pokud jde o standardy pro podávání zpráv o udržitelnosti)</w:t>
            </w:r>
          </w:p>
        </w:tc>
        <w:tc>
          <w:tcPr>
            <w:tcW w:w="9356" w:type="dxa"/>
          </w:tcPr>
          <w:p w14:paraId="3D50D4B9" w14:textId="6589116F" w:rsidR="00662BB3" w:rsidRPr="00E91A42" w:rsidRDefault="00E91A42" w:rsidP="00E15745">
            <w:pPr>
              <w:pStyle w:val="TableParagraph"/>
              <w:spacing w:before="0"/>
              <w:ind w:left="108"/>
              <w:rPr>
                <w:rFonts w:ascii="Arial" w:hAnsi="Arial" w:cs="Arial"/>
                <w:sz w:val="20"/>
              </w:rPr>
            </w:pPr>
            <w:proofErr w:type="spellStart"/>
            <w:r w:rsidRPr="00E91A42">
              <w:rPr>
                <w:rFonts w:ascii="Arial" w:hAnsi="Arial" w:cs="Arial"/>
                <w:sz w:val="20"/>
              </w:rPr>
              <w:t>Návrh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odkládá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lhůtu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přijetí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odvětvových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evropských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standardů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podávání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zpráv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udržitelnosti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r w:rsidR="00662BB3" w:rsidRPr="00E91A42">
              <w:rPr>
                <w:rFonts w:ascii="Arial" w:hAnsi="Arial" w:cs="Arial"/>
                <w:sz w:val="20"/>
              </w:rPr>
              <w:t>(</w:t>
            </w:r>
            <w:proofErr w:type="spellStart"/>
            <w:r w:rsidR="00662BB3" w:rsidRPr="00E91A42">
              <w:rPr>
                <w:rFonts w:ascii="Arial" w:hAnsi="Arial" w:cs="Arial"/>
                <w:sz w:val="20"/>
              </w:rPr>
              <w:t>aktuálně</w:t>
            </w:r>
            <w:proofErr w:type="spellEnd"/>
            <w:r w:rsidR="00662BB3"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62BB3" w:rsidRPr="00E91A42">
              <w:rPr>
                <w:rFonts w:ascii="Arial" w:hAnsi="Arial" w:cs="Arial"/>
                <w:sz w:val="20"/>
              </w:rPr>
              <w:t>červen</w:t>
            </w:r>
            <w:proofErr w:type="spellEnd"/>
            <w:r w:rsidR="00662BB3" w:rsidRPr="00E91A42">
              <w:rPr>
                <w:rFonts w:ascii="Arial" w:hAnsi="Arial" w:cs="Arial"/>
                <w:sz w:val="20"/>
              </w:rPr>
              <w:t xml:space="preserve"> 2024) o dva roky. To zajistí okamžité snížení zátěže spojené s podáváním zpráv pro společnosti spadající do oblasti působnosti, včetně malých a středních podniků.</w:t>
            </w:r>
          </w:p>
        </w:tc>
      </w:tr>
      <w:tr w:rsidR="00662BB3" w:rsidRPr="00E91A42" w14:paraId="0C26C047" w14:textId="77777777" w:rsidTr="00E15745">
        <w:trPr>
          <w:trHeight w:val="928"/>
        </w:trPr>
        <w:tc>
          <w:tcPr>
            <w:tcW w:w="566" w:type="dxa"/>
          </w:tcPr>
          <w:p w14:paraId="7A5F2720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11.</w:t>
            </w:r>
          </w:p>
        </w:tc>
        <w:tc>
          <w:tcPr>
            <w:tcW w:w="4822" w:type="dxa"/>
          </w:tcPr>
          <w:p w14:paraId="2F6CEB37" w14:textId="77777777" w:rsidR="00662BB3" w:rsidRPr="00E91A42" w:rsidRDefault="00662BB3" w:rsidP="00E15745">
            <w:pPr>
              <w:pStyle w:val="TableParagraph"/>
              <w:spacing w:before="120"/>
              <w:ind w:left="111" w:right="98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směrnice, kterou se mění směrnice 2014/62/EU o trestněprávní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ochraně eura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a ostatních měn proti padělání</w:t>
            </w:r>
          </w:p>
        </w:tc>
        <w:tc>
          <w:tcPr>
            <w:tcW w:w="9356" w:type="dxa"/>
          </w:tcPr>
          <w:p w14:paraId="008868BD" w14:textId="77777777" w:rsidR="00662BB3" w:rsidRPr="00E91A42" w:rsidRDefault="00662BB3" w:rsidP="00E15745">
            <w:pPr>
              <w:pStyle w:val="TableParagraph"/>
              <w:spacing w:before="120"/>
              <w:ind w:left="108" w:right="101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Návrh mění směrnici o ochraně eura a ostatních měn proti padělání tím, že odstraňuje nadbytečné pololetní zprávy o počtu osob stíhaných a odsouzených za padělání měny.</w:t>
            </w:r>
          </w:p>
        </w:tc>
      </w:tr>
      <w:tr w:rsidR="00662BB3" w:rsidRPr="00E91A42" w14:paraId="26E89EF5" w14:textId="77777777" w:rsidTr="00E15745">
        <w:trPr>
          <w:trHeight w:val="2484"/>
        </w:trPr>
        <w:tc>
          <w:tcPr>
            <w:tcW w:w="566" w:type="dxa"/>
          </w:tcPr>
          <w:p w14:paraId="45AB1E50" w14:textId="77777777" w:rsidR="00662BB3" w:rsidRPr="00E91A42" w:rsidRDefault="00662BB3" w:rsidP="00E15745">
            <w:pPr>
              <w:pStyle w:val="TableParagraph"/>
              <w:spacing w:before="122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12.</w:t>
            </w:r>
          </w:p>
        </w:tc>
        <w:tc>
          <w:tcPr>
            <w:tcW w:w="4822" w:type="dxa"/>
          </w:tcPr>
          <w:p w14:paraId="50B6C315" w14:textId="77777777" w:rsidR="00662BB3" w:rsidRPr="00E91A42" w:rsidRDefault="00662BB3" w:rsidP="00E15745">
            <w:pPr>
              <w:pStyle w:val="TableParagraph"/>
              <w:spacing w:before="120"/>
              <w:ind w:left="111" w:right="96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Návrh směrnice, kterou se mění směrnice 2013/11/EU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alternativním řešení spotřebitelských sporů</w:t>
            </w:r>
          </w:p>
        </w:tc>
        <w:tc>
          <w:tcPr>
            <w:tcW w:w="9356" w:type="dxa"/>
          </w:tcPr>
          <w:p w14:paraId="0E66E0E3" w14:textId="77777777" w:rsidR="00662BB3" w:rsidRPr="00E91A42" w:rsidRDefault="00662BB3" w:rsidP="00E15745">
            <w:pPr>
              <w:pStyle w:val="TableParagraph"/>
              <w:spacing w:before="122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Návrh stanoví snížení stávajících požadavků na podávání zpráv prostřednictvím:</w:t>
            </w:r>
          </w:p>
          <w:p w14:paraId="1BCE194B" w14:textId="77777777" w:rsidR="00662BB3" w:rsidRPr="00E91A42" w:rsidRDefault="00662BB3" w:rsidP="00E15745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18"/>
              <w:ind w:right="93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snížení četnosti podávání zpráv o činnosti subjektů alternativního řešení sporů: z jednoho roku na dva roky a o jednu povinnou položku pro podávání zpráv méně, tj. o spolupráci subjektů alternativního řešení sporů v rámci sítí subjektů alternativního řešení sporů,</w:t>
            </w:r>
          </w:p>
          <w:p w14:paraId="4CAD07E5" w14:textId="77777777" w:rsidR="00662BB3" w:rsidRPr="00E91A42" w:rsidRDefault="00662BB3" w:rsidP="00E15745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21"/>
              <w:ind w:right="96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Subjekty alternativního řešení sporů již nebudou muset příslušným orgánům alternativního řešení sporů sdělovat: posouzení účinnosti, školení poskytovaných jejich zaměstnancům a účinnost postupu alternativního řešení sporů nabízeného subjektem alternativního řešení </w:t>
            </w:r>
            <w:proofErr w:type="gramStart"/>
            <w:r w:rsidRPr="00E91A42">
              <w:rPr>
                <w:rFonts w:ascii="Arial" w:hAnsi="Arial" w:cs="Arial"/>
                <w:sz w:val="20"/>
              </w:rPr>
              <w:t>sporů;</w:t>
            </w:r>
            <w:proofErr w:type="gramEnd"/>
          </w:p>
          <w:p w14:paraId="2514B821" w14:textId="77777777" w:rsidR="00662BB3" w:rsidRPr="00E91A42" w:rsidRDefault="00662BB3" w:rsidP="00E15745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before="118"/>
              <w:ind w:left="335" w:hanging="227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Zrušení informačních povinností obchodníků při alternativním řešení sporů.</w:t>
            </w:r>
          </w:p>
        </w:tc>
      </w:tr>
      <w:tr w:rsidR="00662BB3" w:rsidRPr="00E91A42" w14:paraId="13D5ABCC" w14:textId="77777777" w:rsidTr="00E15745">
        <w:trPr>
          <w:trHeight w:val="1619"/>
        </w:trPr>
        <w:tc>
          <w:tcPr>
            <w:tcW w:w="566" w:type="dxa"/>
          </w:tcPr>
          <w:p w14:paraId="4526F618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13.</w:t>
            </w:r>
          </w:p>
        </w:tc>
        <w:tc>
          <w:tcPr>
            <w:tcW w:w="4822" w:type="dxa"/>
          </w:tcPr>
          <w:p w14:paraId="02BBCF70" w14:textId="77777777" w:rsidR="00662BB3" w:rsidRPr="00E91A42" w:rsidRDefault="00662BB3" w:rsidP="00E15745">
            <w:pPr>
              <w:pStyle w:val="TableParagraph"/>
              <w:spacing w:before="120"/>
              <w:ind w:left="111" w:right="93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>Směrnice Komise v přenesené pravomoci, kterou se mění směrnice 2013/34/EU o ročních účetních závěrkách, konsolidovaných účetních závěrkách a souvisejících zprávách určitých forem podniků (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směrnice o účetnictví)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v souladu s čl. 3 odst. 13 téže směrnice.</w:t>
            </w:r>
          </w:p>
        </w:tc>
        <w:tc>
          <w:tcPr>
            <w:tcW w:w="9356" w:type="dxa"/>
          </w:tcPr>
          <w:p w14:paraId="7A11B18F" w14:textId="77777777" w:rsidR="00662BB3" w:rsidRPr="00E91A42" w:rsidRDefault="00662BB3" w:rsidP="00E15745">
            <w:pPr>
              <w:pStyle w:val="TableParagraph"/>
              <w:spacing w:before="120"/>
              <w:ind w:left="108" w:right="96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Akt v přenesené pravomoci stanoví úpravu prahových hodnot velikosti pro uplatňování směrnice o účetnictví o inflaci, což by mělo vést ke snížení požadavků na podávání zpráv pro více než milion společností.</w:t>
            </w:r>
          </w:p>
        </w:tc>
      </w:tr>
      <w:tr w:rsidR="00662BB3" w:rsidRPr="00E91A42" w14:paraId="1982D259" w14:textId="77777777" w:rsidTr="00E15745">
        <w:trPr>
          <w:trHeight w:val="1389"/>
        </w:trPr>
        <w:tc>
          <w:tcPr>
            <w:tcW w:w="566" w:type="dxa"/>
          </w:tcPr>
          <w:p w14:paraId="072C6A6F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14.</w:t>
            </w:r>
          </w:p>
        </w:tc>
        <w:tc>
          <w:tcPr>
            <w:tcW w:w="4822" w:type="dxa"/>
          </w:tcPr>
          <w:p w14:paraId="4DFBD613" w14:textId="77777777" w:rsidR="00662BB3" w:rsidRPr="00E91A42" w:rsidRDefault="00662BB3" w:rsidP="00E15745">
            <w:pPr>
              <w:pStyle w:val="TableParagraph"/>
              <w:spacing w:before="120"/>
              <w:ind w:left="111" w:right="96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Nařízení Komise v přenesené pravomoci, kterým se mění nařízení Komise v přenesené pravomoci 2016/232 ze dne 15. prosince 2015, kterým se doplňuje nařízení č. 1308/2013, pokud jde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některé aspekty spolupráce producentů</w:t>
            </w:r>
          </w:p>
        </w:tc>
        <w:tc>
          <w:tcPr>
            <w:tcW w:w="9356" w:type="dxa"/>
          </w:tcPr>
          <w:p w14:paraId="5150881E" w14:textId="77777777" w:rsidR="00662BB3" w:rsidRPr="00E91A42" w:rsidRDefault="00662BB3" w:rsidP="00E15745">
            <w:pPr>
              <w:pStyle w:val="TableParagraph"/>
              <w:spacing w:before="120"/>
              <w:ind w:left="108" w:right="95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Akt v přenesené pravomoci stanoví zjednodušení oznamovací povinnosti členských států, pokud jde o jejich rozhodnutí rozšířit některá pravidla stanovená některými organizacemi pro spolupráci producentů na jejich žádost na další hospodářské subjekty působící ve stejném odvětví a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stejné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hospodářské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oblasti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206ECF01" w14:textId="77777777" w:rsidTr="00E15745">
        <w:trPr>
          <w:trHeight w:val="1511"/>
        </w:trPr>
        <w:tc>
          <w:tcPr>
            <w:tcW w:w="566" w:type="dxa"/>
          </w:tcPr>
          <w:p w14:paraId="4ACC65F1" w14:textId="77777777" w:rsidR="00662BB3" w:rsidRPr="00E91A42" w:rsidRDefault="00662BB3" w:rsidP="00E15745">
            <w:pPr>
              <w:pStyle w:val="TableParagraph"/>
              <w:spacing w:before="122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15.</w:t>
            </w:r>
          </w:p>
        </w:tc>
        <w:tc>
          <w:tcPr>
            <w:tcW w:w="4822" w:type="dxa"/>
          </w:tcPr>
          <w:p w14:paraId="1E6F9E94" w14:textId="77777777" w:rsidR="00662BB3" w:rsidRPr="00E91A42" w:rsidRDefault="00662BB3" w:rsidP="00E15745">
            <w:pPr>
              <w:pStyle w:val="TableParagraph"/>
              <w:spacing w:before="122"/>
              <w:ind w:left="111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>Prováděcí nařízení Komise, kterým se mění:</w:t>
            </w:r>
          </w:p>
          <w:p w14:paraId="3B2346F1" w14:textId="77777777" w:rsidR="00662BB3" w:rsidRPr="00E91A42" w:rsidRDefault="00662BB3" w:rsidP="00E15745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before="118" w:line="239" w:lineRule="exact"/>
              <w:ind w:left="393" w:hanging="282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>Prováděcí nařízení Komise č. 180/2014 ze dne</w:t>
            </w:r>
          </w:p>
          <w:p w14:paraId="536567B6" w14:textId="77777777" w:rsidR="00662BB3" w:rsidRPr="00E91A42" w:rsidRDefault="00662BB3" w:rsidP="00E15745">
            <w:pPr>
              <w:pStyle w:val="TableParagraph"/>
              <w:spacing w:before="0"/>
              <w:ind w:left="394" w:right="94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ze dne 20. února 2014, kterým se stanoví prováděcí pravidla k nařízení č. 228/2013 (kterým se provádí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program POSEI);</w:t>
            </w:r>
          </w:p>
        </w:tc>
        <w:tc>
          <w:tcPr>
            <w:tcW w:w="9356" w:type="dxa"/>
          </w:tcPr>
          <w:p w14:paraId="74489AFD" w14:textId="77777777" w:rsidR="00662BB3" w:rsidRPr="00E91A42" w:rsidRDefault="00662BB3" w:rsidP="00E15745">
            <w:pPr>
              <w:pStyle w:val="TableParagraph"/>
              <w:spacing w:before="120"/>
              <w:ind w:left="108" w:right="95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Prováděcí nařízení stanoví odstranění výročních zpráv o obdržených způsobilých žádostech a příslušných částkách na opatření na podporu místní produkce v nejvzdálenějších regionech a na malých ostrovech v Egejském moři. Prováděcí nařízení rovněž odstraňuje automatická oznámení o schválení práva používat logo na jakostních zemědělských produktech specifických pro nejvzdálenější regiony.</w:t>
            </w:r>
          </w:p>
        </w:tc>
      </w:tr>
    </w:tbl>
    <w:p w14:paraId="56080CD7" w14:textId="77777777" w:rsidR="00662BB3" w:rsidRPr="00E91A42" w:rsidRDefault="00662BB3" w:rsidP="00662BB3">
      <w:pPr>
        <w:jc w:val="both"/>
        <w:rPr>
          <w:rFonts w:ascii="Arial" w:hAnsi="Arial" w:cs="Arial"/>
          <w:sz w:val="20"/>
        </w:rPr>
        <w:sectPr w:rsidR="00662BB3" w:rsidRPr="00E91A42">
          <w:pgSz w:w="16840" w:h="11910" w:orient="landscape"/>
          <w:pgMar w:top="820" w:right="840" w:bottom="740" w:left="940" w:header="0" w:footer="541" w:gutter="0"/>
          <w:cols w:space="708"/>
        </w:sectPr>
      </w:pPr>
    </w:p>
    <w:p w14:paraId="0DE165C8" w14:textId="77777777" w:rsidR="00662BB3" w:rsidRPr="00E91A42" w:rsidRDefault="00662BB3" w:rsidP="00662BB3">
      <w:pPr>
        <w:pStyle w:val="Zkladntext"/>
        <w:spacing w:before="2"/>
        <w:rPr>
          <w:rFonts w:ascii="Arial" w:hAnsi="Arial" w:cs="Arial"/>
          <w:sz w:val="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2"/>
        <w:gridCol w:w="9356"/>
      </w:tblGrid>
      <w:tr w:rsidR="00662BB3" w:rsidRPr="00E91A42" w14:paraId="3D5FBC1F" w14:textId="77777777" w:rsidTr="00E15745">
        <w:trPr>
          <w:trHeight w:val="470"/>
        </w:trPr>
        <w:tc>
          <w:tcPr>
            <w:tcW w:w="566" w:type="dxa"/>
            <w:shd w:val="clear" w:color="auto" w:fill="99CCFF"/>
          </w:tcPr>
          <w:p w14:paraId="1B0A5CAF" w14:textId="77777777" w:rsidR="00662BB3" w:rsidRPr="00E91A42" w:rsidRDefault="00662BB3" w:rsidP="00E15745">
            <w:pPr>
              <w:pStyle w:val="TableParagraph"/>
              <w:spacing w:before="120"/>
              <w:ind w:left="91" w:right="85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5"/>
                <w:sz w:val="20"/>
              </w:rPr>
              <w:t>Ne.</w:t>
            </w:r>
          </w:p>
        </w:tc>
        <w:tc>
          <w:tcPr>
            <w:tcW w:w="4822" w:type="dxa"/>
            <w:shd w:val="clear" w:color="auto" w:fill="99CCFF"/>
          </w:tcPr>
          <w:p w14:paraId="779273CC" w14:textId="77777777" w:rsidR="00662BB3" w:rsidRPr="00E91A42" w:rsidRDefault="00662BB3" w:rsidP="00E15745">
            <w:pPr>
              <w:pStyle w:val="TableParagraph"/>
              <w:spacing w:before="120"/>
              <w:ind w:left="12" w:right="5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Titul</w:t>
            </w:r>
          </w:p>
        </w:tc>
        <w:tc>
          <w:tcPr>
            <w:tcW w:w="9356" w:type="dxa"/>
            <w:shd w:val="clear" w:color="auto" w:fill="99CCFF"/>
          </w:tcPr>
          <w:p w14:paraId="48714B3A" w14:textId="77777777" w:rsidR="00662BB3" w:rsidRPr="00E91A42" w:rsidRDefault="00662BB3" w:rsidP="00E15745">
            <w:pPr>
              <w:pStyle w:val="TableParagraph"/>
              <w:spacing w:before="120"/>
              <w:ind w:left="13" w:right="4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Popis</w:t>
            </w:r>
          </w:p>
        </w:tc>
      </w:tr>
      <w:tr w:rsidR="00662BB3" w:rsidRPr="00E91A42" w14:paraId="0BCA1907" w14:textId="77777777" w:rsidTr="00E15745">
        <w:trPr>
          <w:trHeight w:val="1038"/>
        </w:trPr>
        <w:tc>
          <w:tcPr>
            <w:tcW w:w="566" w:type="dxa"/>
          </w:tcPr>
          <w:p w14:paraId="1CC0D91D" w14:textId="77777777" w:rsidR="00662BB3" w:rsidRPr="00E91A42" w:rsidRDefault="00662BB3" w:rsidP="00E15745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4822" w:type="dxa"/>
          </w:tcPr>
          <w:p w14:paraId="2D55FDEF" w14:textId="77777777" w:rsidR="00662BB3" w:rsidRPr="00E91A42" w:rsidRDefault="00662BB3" w:rsidP="00E15745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  <w:tab w:val="left" w:pos="394"/>
              </w:tabs>
              <w:spacing w:before="5" w:line="232" w:lineRule="auto"/>
              <w:ind w:right="93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>Prováděcí nařízení Komise č. 181/2014, kterým se stanoví prováděcí pravidla k nařízení č. 229/2013 (kterým se provádějí menší ostrovy v Egejském moři).</w:t>
            </w:r>
          </w:p>
        </w:tc>
        <w:tc>
          <w:tcPr>
            <w:tcW w:w="9356" w:type="dxa"/>
          </w:tcPr>
          <w:p w14:paraId="56FB8FD7" w14:textId="77777777" w:rsidR="00662BB3" w:rsidRPr="00E91A42" w:rsidRDefault="00662BB3" w:rsidP="00E15745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662BB3" w:rsidRPr="00E91A42" w14:paraId="3FE12D29" w14:textId="77777777" w:rsidTr="00E15745">
        <w:trPr>
          <w:trHeight w:val="1850"/>
        </w:trPr>
        <w:tc>
          <w:tcPr>
            <w:tcW w:w="566" w:type="dxa"/>
          </w:tcPr>
          <w:p w14:paraId="632EE6ED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16.</w:t>
            </w:r>
          </w:p>
        </w:tc>
        <w:tc>
          <w:tcPr>
            <w:tcW w:w="4822" w:type="dxa"/>
          </w:tcPr>
          <w:p w14:paraId="195DF395" w14:textId="77777777" w:rsidR="00662BB3" w:rsidRPr="00E91A42" w:rsidRDefault="00662BB3" w:rsidP="00E15745">
            <w:pPr>
              <w:pStyle w:val="TableParagraph"/>
              <w:spacing w:before="120"/>
              <w:ind w:left="111" w:right="95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Prováděcí nařízení Komise, kterým se mění prováděcí nařízení Komise (EU) 2022/128 ze dne 21. prosince 2021, kterým se stanoví prováděcí pravidla k nařízení 2021/2116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platebních agenturách a jiných subjektech, finančním řízení</w:t>
            </w:r>
            <w:r w:rsidRPr="00E91A42">
              <w:rPr>
                <w:rFonts w:ascii="Arial" w:hAnsi="Arial" w:cs="Arial"/>
                <w:b/>
                <w:sz w:val="20"/>
              </w:rPr>
              <w:t>, schvalování účetní závěrky, kontrolách, cenných papírech a transparentnosti</w:t>
            </w:r>
          </w:p>
        </w:tc>
        <w:tc>
          <w:tcPr>
            <w:tcW w:w="9356" w:type="dxa"/>
          </w:tcPr>
          <w:p w14:paraId="44565AAB" w14:textId="77777777" w:rsidR="00662BB3" w:rsidRPr="00E91A42" w:rsidRDefault="00662BB3" w:rsidP="00E15745">
            <w:pPr>
              <w:pStyle w:val="TableParagraph"/>
              <w:spacing w:before="120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Prováděcí nařízení stanoví digitalizaci podávání zpráv o plánu kontrol a opatření přijatých za účelem kontroly operací v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rámci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společné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zemědělské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politiky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53A6A270" w14:textId="77777777" w:rsidTr="00E15745">
        <w:trPr>
          <w:trHeight w:val="1158"/>
        </w:trPr>
        <w:tc>
          <w:tcPr>
            <w:tcW w:w="566" w:type="dxa"/>
          </w:tcPr>
          <w:p w14:paraId="3C8E4BF8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17.</w:t>
            </w:r>
          </w:p>
        </w:tc>
        <w:tc>
          <w:tcPr>
            <w:tcW w:w="4822" w:type="dxa"/>
          </w:tcPr>
          <w:p w14:paraId="3A054D46" w14:textId="77777777" w:rsidR="00662BB3" w:rsidRPr="00E91A42" w:rsidRDefault="00662BB3" w:rsidP="00E15745">
            <w:pPr>
              <w:pStyle w:val="TableParagraph"/>
              <w:spacing w:before="120"/>
              <w:ind w:left="111" w:right="95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Prováděcí nařízení Komise, kterým se mění prováděcí nařízení Komise (EU) 2015/1375, kterým se stanoví zvláštní pravidla pro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úřední kontroly trichinel v mase</w:t>
            </w:r>
          </w:p>
        </w:tc>
        <w:tc>
          <w:tcPr>
            <w:tcW w:w="9356" w:type="dxa"/>
          </w:tcPr>
          <w:p w14:paraId="78724AA5" w14:textId="77777777" w:rsidR="00662BB3" w:rsidRPr="00E91A42" w:rsidRDefault="00662BB3" w:rsidP="00E15745">
            <w:pPr>
              <w:pStyle w:val="TableParagraph"/>
              <w:spacing w:before="120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Prováděcí nařízení odstraňuje každoroční podávání zpráv o výjimkách udělených pro vyšetření na přítomnost trichinel v kontrolovaných podmínkách ustájení.</w:t>
            </w:r>
          </w:p>
        </w:tc>
      </w:tr>
      <w:tr w:rsidR="00662BB3" w:rsidRPr="00E91A42" w14:paraId="335FA72E" w14:textId="77777777" w:rsidTr="00E15745">
        <w:trPr>
          <w:trHeight w:val="1391"/>
        </w:trPr>
        <w:tc>
          <w:tcPr>
            <w:tcW w:w="566" w:type="dxa"/>
          </w:tcPr>
          <w:p w14:paraId="3AB27E53" w14:textId="77777777" w:rsidR="00662BB3" w:rsidRPr="00E91A42" w:rsidRDefault="00662BB3" w:rsidP="00E15745">
            <w:pPr>
              <w:pStyle w:val="TableParagraph"/>
              <w:spacing w:before="122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18.</w:t>
            </w:r>
          </w:p>
        </w:tc>
        <w:tc>
          <w:tcPr>
            <w:tcW w:w="4822" w:type="dxa"/>
          </w:tcPr>
          <w:p w14:paraId="6CA5159C" w14:textId="77777777" w:rsidR="00662BB3" w:rsidRPr="00E91A42" w:rsidRDefault="00662BB3" w:rsidP="00E15745">
            <w:pPr>
              <w:pStyle w:val="TableParagraph"/>
              <w:spacing w:before="120"/>
              <w:ind w:left="111" w:right="95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Prováděcí nařízení Komise, kterým se mění4 Prováděcí nařízení Komise č. 999/2001, kterým se stanoví pravidla pro prevenci, tlumení </w:t>
            </w:r>
            <w:proofErr w:type="gramStart"/>
            <w:r w:rsidRPr="00E91A42">
              <w:rPr>
                <w:rFonts w:ascii="Arial" w:hAnsi="Arial" w:cs="Arial"/>
                <w:b/>
                <w:sz w:val="20"/>
              </w:rPr>
              <w:t>a</w:t>
            </w:r>
            <w:proofErr w:type="gramEnd"/>
            <w:r w:rsidRPr="00E91A4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eradikaci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některých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</w:rPr>
              <w:t>přenosných</w:t>
            </w:r>
            <w:proofErr w:type="spellEnd"/>
            <w:r w:rsidRPr="00E91A4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spongiformních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encefalopatií</w:t>
            </w:r>
            <w:proofErr w:type="spellEnd"/>
          </w:p>
        </w:tc>
        <w:tc>
          <w:tcPr>
            <w:tcW w:w="9356" w:type="dxa"/>
          </w:tcPr>
          <w:p w14:paraId="143AEB40" w14:textId="77777777" w:rsidR="00662BB3" w:rsidRPr="00E91A42" w:rsidRDefault="00662BB3" w:rsidP="00E15745">
            <w:pPr>
              <w:pStyle w:val="TableParagraph"/>
              <w:spacing w:before="120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Prováděcí nařízení stanoví snížení četnosti hlášení o národních šlechtitelských programech za účelem selekce rezistence k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přenosným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spongiformním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encefalopatiím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319DFAE0" w14:textId="77777777" w:rsidTr="00E15745">
        <w:trPr>
          <w:trHeight w:val="1158"/>
        </w:trPr>
        <w:tc>
          <w:tcPr>
            <w:tcW w:w="566" w:type="dxa"/>
          </w:tcPr>
          <w:p w14:paraId="779D5AA3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19.</w:t>
            </w:r>
          </w:p>
        </w:tc>
        <w:tc>
          <w:tcPr>
            <w:tcW w:w="4822" w:type="dxa"/>
          </w:tcPr>
          <w:p w14:paraId="6AAB11A1" w14:textId="77777777" w:rsidR="00662BB3" w:rsidRPr="00E91A42" w:rsidRDefault="00662BB3" w:rsidP="00E15745">
            <w:pPr>
              <w:pStyle w:val="TableParagraph"/>
              <w:spacing w:before="120"/>
              <w:ind w:left="111" w:right="96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Prováděcí nařízení Komise, kterým se mění prováděcí nařízení Komise 2018/2066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monitorování a vykazování emisí skleníkových plynů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podle směrnice 2003/87/ES</w:t>
            </w:r>
          </w:p>
        </w:tc>
        <w:tc>
          <w:tcPr>
            <w:tcW w:w="9356" w:type="dxa"/>
          </w:tcPr>
          <w:p w14:paraId="3FD0356A" w14:textId="77777777" w:rsidR="00662BB3" w:rsidRPr="00E91A42" w:rsidRDefault="00662BB3" w:rsidP="00E15745">
            <w:pPr>
              <w:pStyle w:val="TableParagraph"/>
              <w:spacing w:before="120"/>
              <w:ind w:left="108" w:right="93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Prováděcí nařízení snižuje četnost, s jakou musí provozovatelé odvětví energetiky, energeticky náročných průmyslových odvětví a letectví podávat zprávy o zlepšeních svých metodik pro monitorování emisí skleníkových plynů, aniž by byla narušena nezbytná komplexnost údajů.</w:t>
            </w:r>
          </w:p>
        </w:tc>
      </w:tr>
      <w:tr w:rsidR="00662BB3" w:rsidRPr="00E91A42" w14:paraId="08233043" w14:textId="77777777" w:rsidTr="00E15745">
        <w:trPr>
          <w:trHeight w:val="1392"/>
        </w:trPr>
        <w:tc>
          <w:tcPr>
            <w:tcW w:w="566" w:type="dxa"/>
          </w:tcPr>
          <w:p w14:paraId="14AE3546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20.</w:t>
            </w:r>
          </w:p>
        </w:tc>
        <w:tc>
          <w:tcPr>
            <w:tcW w:w="4822" w:type="dxa"/>
          </w:tcPr>
          <w:p w14:paraId="7A3E865C" w14:textId="77777777" w:rsidR="00662BB3" w:rsidRPr="00E91A42" w:rsidRDefault="00662BB3" w:rsidP="00E15745">
            <w:pPr>
              <w:pStyle w:val="TableParagraph"/>
              <w:spacing w:before="120"/>
              <w:ind w:left="111" w:right="95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Prováděcí nařízení Komise, kterým se mění 5 Prováděcí nařízení Komise 2022/92, kterým se stanoví prováděcí pravidla ke směrnici 2019/883, pokud jde o metodiky údajů z monitorování a formát pro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vykazování pasivně vyloveného odpadu</w:t>
            </w:r>
          </w:p>
        </w:tc>
        <w:tc>
          <w:tcPr>
            <w:tcW w:w="9356" w:type="dxa"/>
          </w:tcPr>
          <w:p w14:paraId="4BB55FA6" w14:textId="77777777" w:rsidR="00662BB3" w:rsidRPr="00E91A42" w:rsidRDefault="00662BB3" w:rsidP="00E15745">
            <w:pPr>
              <w:pStyle w:val="TableParagraph"/>
              <w:spacing w:before="120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Prováděcí nařízení stanoví zjednodušené podávání zpráv, pokud jde o množství pasivně vyloveného odpadu, a to snížením četnosti předkládání.</w:t>
            </w:r>
          </w:p>
        </w:tc>
      </w:tr>
    </w:tbl>
    <w:p w14:paraId="48FF1C5B" w14:textId="77777777" w:rsidR="00662BB3" w:rsidRPr="00E91A42" w:rsidRDefault="00662BB3" w:rsidP="00662BB3">
      <w:pPr>
        <w:pStyle w:val="Zkladntext"/>
        <w:rPr>
          <w:rFonts w:ascii="Arial" w:hAnsi="Arial" w:cs="Arial"/>
        </w:rPr>
      </w:pPr>
    </w:p>
    <w:p w14:paraId="7DEFBABA" w14:textId="77777777" w:rsidR="00662BB3" w:rsidRPr="00E91A42" w:rsidRDefault="00662BB3" w:rsidP="00662BB3">
      <w:pPr>
        <w:pStyle w:val="Zkladntext"/>
        <w:spacing w:before="94"/>
        <w:rPr>
          <w:rFonts w:ascii="Arial" w:hAnsi="Arial" w:cs="Arial"/>
        </w:rPr>
      </w:pPr>
      <w:r w:rsidRPr="00E91A4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79715C" wp14:editId="1CFE8E05">
                <wp:simplePos x="0" y="0"/>
                <wp:positionH relativeFrom="page">
                  <wp:posOffset>719327</wp:posOffset>
                </wp:positionH>
                <wp:positionV relativeFrom="paragraph">
                  <wp:posOffset>221196</wp:posOffset>
                </wp:positionV>
                <wp:extent cx="1829435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Graphic 7" style="position:absolute;margin-left:56.65pt;margin-top:17.4pt;width:144.05pt;height:.6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spid="_x0000_s1026" fillcolor="black" stroked="f" path="m1829054,l,,,7620r1829054,l182905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" w14:anchorId="29B9B1CE">
                <v:path arrowok="t"/>
                <w10:wrap type="topAndBottom" anchorx="page"/>
              </v:shape>
            </w:pict>
          </mc:Fallback>
        </mc:AlternateContent>
      </w:r>
    </w:p>
    <w:p w14:paraId="70DB7272" w14:textId="77777777" w:rsidR="00662BB3" w:rsidRPr="00E91A42" w:rsidRDefault="00662BB3" w:rsidP="00662BB3">
      <w:pPr>
        <w:pStyle w:val="Zkladntext"/>
        <w:spacing w:before="103"/>
        <w:ind w:left="192"/>
        <w:rPr>
          <w:rFonts w:ascii="Arial" w:hAnsi="Arial" w:cs="Arial"/>
        </w:rPr>
      </w:pPr>
      <w:r w:rsidRPr="00E91A42">
        <w:rPr>
          <w:rFonts w:ascii="Arial" w:hAnsi="Arial" w:cs="Arial"/>
          <w:vertAlign w:val="superscript"/>
        </w:rPr>
        <w:t xml:space="preserve">4 </w:t>
      </w:r>
      <w:r w:rsidRPr="00E91A42">
        <w:rPr>
          <w:rFonts w:ascii="Arial" w:hAnsi="Arial" w:cs="Arial"/>
        </w:rPr>
        <w:t>Komise předložila návrh aktu příslušnému výboru projednávání ve výborech.</w:t>
      </w:r>
    </w:p>
    <w:p w14:paraId="2DC26970" w14:textId="77777777" w:rsidR="00662BB3" w:rsidRPr="00E91A42" w:rsidRDefault="00662BB3" w:rsidP="00662BB3">
      <w:pPr>
        <w:pStyle w:val="Zkladntext"/>
        <w:spacing w:before="118"/>
        <w:ind w:left="192"/>
        <w:rPr>
          <w:rFonts w:ascii="Arial" w:hAnsi="Arial" w:cs="Arial"/>
        </w:rPr>
      </w:pPr>
      <w:r w:rsidRPr="00E91A42">
        <w:rPr>
          <w:rFonts w:ascii="Arial" w:hAnsi="Arial" w:cs="Arial"/>
          <w:vertAlign w:val="superscript"/>
        </w:rPr>
        <w:t xml:space="preserve">5 </w:t>
      </w:r>
      <w:r w:rsidRPr="00E91A42">
        <w:rPr>
          <w:rFonts w:ascii="Arial" w:hAnsi="Arial" w:cs="Arial"/>
        </w:rPr>
        <w:t>Komise předložila návrh aktu příslušnému výboru projednávání ve výborech.</w:t>
      </w:r>
    </w:p>
    <w:p w14:paraId="1653C86E" w14:textId="77777777" w:rsidR="00662BB3" w:rsidRPr="00E91A42" w:rsidRDefault="00662BB3" w:rsidP="00662BB3">
      <w:pPr>
        <w:rPr>
          <w:rFonts w:ascii="Arial" w:hAnsi="Arial" w:cs="Arial"/>
        </w:rPr>
        <w:sectPr w:rsidR="00662BB3" w:rsidRPr="00E91A42">
          <w:pgSz w:w="16840" w:h="11910" w:orient="landscape"/>
          <w:pgMar w:top="820" w:right="840" w:bottom="740" w:left="940" w:header="0" w:footer="541" w:gutter="0"/>
          <w:cols w:space="708"/>
        </w:sectPr>
      </w:pPr>
    </w:p>
    <w:p w14:paraId="273CD62A" w14:textId="77777777" w:rsidR="00662BB3" w:rsidRPr="00E91A42" w:rsidRDefault="00662BB3" w:rsidP="00662BB3">
      <w:pPr>
        <w:pStyle w:val="Zkladntext"/>
        <w:spacing w:before="2"/>
        <w:rPr>
          <w:rFonts w:ascii="Arial" w:hAnsi="Arial" w:cs="Arial"/>
          <w:sz w:val="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2"/>
        <w:gridCol w:w="9356"/>
      </w:tblGrid>
      <w:tr w:rsidR="00662BB3" w:rsidRPr="00E91A42" w14:paraId="58FFF3DC" w14:textId="77777777" w:rsidTr="00E15745">
        <w:trPr>
          <w:trHeight w:val="470"/>
        </w:trPr>
        <w:tc>
          <w:tcPr>
            <w:tcW w:w="566" w:type="dxa"/>
            <w:shd w:val="clear" w:color="auto" w:fill="99CCFF"/>
          </w:tcPr>
          <w:p w14:paraId="63F0D78E" w14:textId="77777777" w:rsidR="00662BB3" w:rsidRPr="00E91A42" w:rsidRDefault="00662BB3" w:rsidP="00E15745">
            <w:pPr>
              <w:pStyle w:val="TableParagraph"/>
              <w:spacing w:before="120"/>
              <w:ind w:left="91" w:right="85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5"/>
                <w:sz w:val="20"/>
              </w:rPr>
              <w:t>Ne.</w:t>
            </w:r>
          </w:p>
        </w:tc>
        <w:tc>
          <w:tcPr>
            <w:tcW w:w="4822" w:type="dxa"/>
            <w:shd w:val="clear" w:color="auto" w:fill="99CCFF"/>
          </w:tcPr>
          <w:p w14:paraId="298A5BAC" w14:textId="77777777" w:rsidR="00662BB3" w:rsidRPr="00E91A42" w:rsidRDefault="00662BB3" w:rsidP="00E15745">
            <w:pPr>
              <w:pStyle w:val="TableParagraph"/>
              <w:spacing w:before="120"/>
              <w:ind w:left="12" w:right="5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Titul</w:t>
            </w:r>
          </w:p>
        </w:tc>
        <w:tc>
          <w:tcPr>
            <w:tcW w:w="9356" w:type="dxa"/>
            <w:shd w:val="clear" w:color="auto" w:fill="99CCFF"/>
          </w:tcPr>
          <w:p w14:paraId="3BEB9D57" w14:textId="77777777" w:rsidR="00662BB3" w:rsidRPr="00E91A42" w:rsidRDefault="00662BB3" w:rsidP="00E15745">
            <w:pPr>
              <w:pStyle w:val="TableParagraph"/>
              <w:spacing w:before="120"/>
              <w:ind w:left="13" w:right="4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Popis</w:t>
            </w:r>
          </w:p>
        </w:tc>
      </w:tr>
      <w:tr w:rsidR="00662BB3" w:rsidRPr="00E91A42" w14:paraId="48D97F60" w14:textId="77777777" w:rsidTr="00E15745">
        <w:trPr>
          <w:trHeight w:val="928"/>
        </w:trPr>
        <w:tc>
          <w:tcPr>
            <w:tcW w:w="566" w:type="dxa"/>
          </w:tcPr>
          <w:p w14:paraId="6E3B3648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21.</w:t>
            </w:r>
          </w:p>
        </w:tc>
        <w:tc>
          <w:tcPr>
            <w:tcW w:w="4822" w:type="dxa"/>
          </w:tcPr>
          <w:p w14:paraId="709E4F8E" w14:textId="77777777" w:rsidR="00662BB3" w:rsidRPr="00E91A42" w:rsidRDefault="00662BB3" w:rsidP="00E15745">
            <w:pPr>
              <w:pStyle w:val="TableParagraph"/>
              <w:spacing w:before="120"/>
              <w:ind w:left="111" w:right="100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>Prováděcí rozhodnutí Komise, kterým se některým členským státům udělují výjimky podle nařízení č. 1099/2008</w:t>
            </w:r>
          </w:p>
        </w:tc>
        <w:tc>
          <w:tcPr>
            <w:tcW w:w="9356" w:type="dxa"/>
          </w:tcPr>
          <w:p w14:paraId="045EEDE8" w14:textId="77777777" w:rsidR="00662BB3" w:rsidRPr="00E91A42" w:rsidRDefault="00662BB3" w:rsidP="00E15745">
            <w:pPr>
              <w:pStyle w:val="TableParagraph"/>
              <w:spacing w:before="120"/>
              <w:ind w:left="108" w:right="98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Prováděcí rozhodnutí uděluje časově omezené výjimky z předávání některých vnitrostátních statistik za účelem vypracování nových metodik, zjišťování údajů, informačních systémů a přístupu k novým zdrojům údajů v oblasti energetiky osmi členským státům, které o tyto výjimky požádaly.</w:t>
            </w:r>
          </w:p>
        </w:tc>
      </w:tr>
      <w:tr w:rsidR="00662BB3" w:rsidRPr="00E91A42" w14:paraId="4AAE5D79" w14:textId="77777777" w:rsidTr="00E15745">
        <w:trPr>
          <w:trHeight w:val="700"/>
        </w:trPr>
        <w:tc>
          <w:tcPr>
            <w:tcW w:w="566" w:type="dxa"/>
          </w:tcPr>
          <w:p w14:paraId="5AF85227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22.</w:t>
            </w:r>
          </w:p>
        </w:tc>
        <w:tc>
          <w:tcPr>
            <w:tcW w:w="4822" w:type="dxa"/>
          </w:tcPr>
          <w:p w14:paraId="03747890" w14:textId="77777777" w:rsidR="00662BB3" w:rsidRPr="00E91A42" w:rsidRDefault="00662BB3" w:rsidP="00E15745">
            <w:pPr>
              <w:pStyle w:val="TableParagraph"/>
              <w:spacing w:before="120"/>
              <w:ind w:left="111" w:right="97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Přezkum směrnice 92/106/EHS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kombinované přepravě zboží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mezi členskými státy*</w:t>
            </w:r>
          </w:p>
        </w:tc>
        <w:tc>
          <w:tcPr>
            <w:tcW w:w="9356" w:type="dxa"/>
          </w:tcPr>
          <w:p w14:paraId="2641F059" w14:textId="77777777" w:rsidR="00662BB3" w:rsidRPr="00E91A42" w:rsidRDefault="00662BB3" w:rsidP="00E15745">
            <w:pPr>
              <w:pStyle w:val="TableParagraph"/>
              <w:spacing w:before="120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Návrh zahrnuje zjednodušení postupů, například využíváním digitálních platforem pro údaje o dopravě k prokazování způsobilosti pro kombinovanou dopravu.</w:t>
            </w:r>
          </w:p>
        </w:tc>
      </w:tr>
      <w:tr w:rsidR="00662BB3" w:rsidRPr="00E91A42" w14:paraId="0E443D57" w14:textId="77777777" w:rsidTr="00E15745">
        <w:trPr>
          <w:trHeight w:val="700"/>
        </w:trPr>
        <w:tc>
          <w:tcPr>
            <w:tcW w:w="566" w:type="dxa"/>
          </w:tcPr>
          <w:p w14:paraId="1E44CE50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23.</w:t>
            </w:r>
          </w:p>
        </w:tc>
        <w:tc>
          <w:tcPr>
            <w:tcW w:w="4822" w:type="dxa"/>
          </w:tcPr>
          <w:p w14:paraId="50ABA75B" w14:textId="77777777" w:rsidR="00662BB3" w:rsidRPr="00E91A42" w:rsidRDefault="00662BB3" w:rsidP="00E15745">
            <w:pPr>
              <w:pStyle w:val="TableParagraph"/>
              <w:spacing w:before="120"/>
              <w:ind w:left="111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>Návrh nařízení o statistice rybolovu*</w:t>
            </w:r>
          </w:p>
        </w:tc>
        <w:tc>
          <w:tcPr>
            <w:tcW w:w="9356" w:type="dxa"/>
          </w:tcPr>
          <w:p w14:paraId="64403528" w14:textId="77777777" w:rsidR="00662BB3" w:rsidRPr="00E91A42" w:rsidRDefault="00662BB3" w:rsidP="00E15745">
            <w:pPr>
              <w:pStyle w:val="TableParagraph"/>
              <w:spacing w:before="120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Nové nařízení zruší stávající právní předpisy s cílem zjednodušit sběr údajů potřebných k vypracování evropské statistiky rybolovu.</w:t>
            </w:r>
          </w:p>
        </w:tc>
      </w:tr>
      <w:tr w:rsidR="00662BB3" w:rsidRPr="00E91A42" w14:paraId="5D18EF3E" w14:textId="77777777" w:rsidTr="00E15745">
        <w:trPr>
          <w:trHeight w:val="1159"/>
        </w:trPr>
        <w:tc>
          <w:tcPr>
            <w:tcW w:w="566" w:type="dxa"/>
          </w:tcPr>
          <w:p w14:paraId="6AF1E51B" w14:textId="77777777" w:rsidR="00662BB3" w:rsidRPr="00E91A42" w:rsidRDefault="00662BB3" w:rsidP="00E15745">
            <w:pPr>
              <w:pStyle w:val="TableParagraph"/>
              <w:spacing w:before="121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24.</w:t>
            </w:r>
          </w:p>
        </w:tc>
        <w:tc>
          <w:tcPr>
            <w:tcW w:w="4822" w:type="dxa"/>
          </w:tcPr>
          <w:p w14:paraId="5CEF26FB" w14:textId="77777777" w:rsidR="00662BB3" w:rsidRPr="00E91A42" w:rsidRDefault="00662BB3" w:rsidP="00E15745">
            <w:pPr>
              <w:pStyle w:val="TableParagraph"/>
              <w:spacing w:before="121"/>
              <w:ind w:left="111" w:right="97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Zavedení společného formuláře v elektronickém formátu pro usnadnění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ohlášení vyslaných pracovníků*</w:t>
            </w:r>
          </w:p>
        </w:tc>
        <w:tc>
          <w:tcPr>
            <w:tcW w:w="9356" w:type="dxa"/>
          </w:tcPr>
          <w:p w14:paraId="5DB753DB" w14:textId="77777777" w:rsidR="00662BB3" w:rsidRPr="00E91A42" w:rsidRDefault="00662BB3" w:rsidP="00E15745">
            <w:pPr>
              <w:pStyle w:val="TableParagraph"/>
              <w:spacing w:before="121"/>
              <w:ind w:left="108" w:right="102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Digitalizace a zavedení společného formuláře zjednoduší a usnadní prohlášení vyslaných pracovníků. Toto administrativní zjednodušení by bylo doplněno vytvořením a poskytnutím vícejazyčného a veřejného rozhraní, jehož prostřednictvím by poskytovatelé služeb mohli oznamovat vyslání pracovníků, a to pro ty členské státy, které se rozhodnou toto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veřejné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rozhraní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využívat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25E30309" w14:textId="77777777" w:rsidTr="00E15745">
        <w:trPr>
          <w:trHeight w:val="700"/>
        </w:trPr>
        <w:tc>
          <w:tcPr>
            <w:tcW w:w="566" w:type="dxa"/>
          </w:tcPr>
          <w:p w14:paraId="209F12F0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25.</w:t>
            </w:r>
          </w:p>
        </w:tc>
        <w:tc>
          <w:tcPr>
            <w:tcW w:w="4822" w:type="dxa"/>
          </w:tcPr>
          <w:p w14:paraId="11A64CDE" w14:textId="77777777" w:rsidR="00662BB3" w:rsidRPr="00E91A42" w:rsidRDefault="00662BB3" w:rsidP="00E15745">
            <w:pPr>
              <w:pStyle w:val="TableParagraph"/>
              <w:spacing w:before="120"/>
              <w:ind w:left="111" w:right="97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>Prováděcí nařízení Komise, kterým se mění prováděcí nařízení 2020/1070*</w:t>
            </w:r>
          </w:p>
        </w:tc>
        <w:tc>
          <w:tcPr>
            <w:tcW w:w="9356" w:type="dxa"/>
          </w:tcPr>
          <w:p w14:paraId="33DFA5A9" w14:textId="77777777" w:rsidR="00662BB3" w:rsidRPr="00E91A42" w:rsidRDefault="00662BB3" w:rsidP="00E15745">
            <w:pPr>
              <w:pStyle w:val="TableParagraph"/>
              <w:spacing w:before="120"/>
              <w:ind w:left="108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Cílem prováděcího nařízení bude snížit četnost zpráv o uplatňování prováděcího nařízení Komise 2020/1070 o upřesnění vlastností bezdrátových přístupových bodů s malým dosahem.</w:t>
            </w:r>
          </w:p>
        </w:tc>
      </w:tr>
      <w:tr w:rsidR="00662BB3" w:rsidRPr="00E91A42" w14:paraId="0F58BEBD" w14:textId="77777777" w:rsidTr="00E15745">
        <w:trPr>
          <w:trHeight w:val="1161"/>
        </w:trPr>
        <w:tc>
          <w:tcPr>
            <w:tcW w:w="566" w:type="dxa"/>
          </w:tcPr>
          <w:p w14:paraId="10F8446B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26.</w:t>
            </w:r>
          </w:p>
        </w:tc>
        <w:tc>
          <w:tcPr>
            <w:tcW w:w="4822" w:type="dxa"/>
          </w:tcPr>
          <w:p w14:paraId="1F656FAD" w14:textId="77777777" w:rsidR="00662BB3" w:rsidRPr="00E91A42" w:rsidRDefault="00662BB3" w:rsidP="00E15745">
            <w:pPr>
              <w:pStyle w:val="TableParagraph"/>
              <w:spacing w:before="120"/>
              <w:ind w:left="111" w:right="97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Prováděcí rozhodnutí Komise, kterým se mění prováděcí rozhodnutí 2014/896 o směrnici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Seveso III*</w:t>
            </w:r>
          </w:p>
        </w:tc>
        <w:tc>
          <w:tcPr>
            <w:tcW w:w="9356" w:type="dxa"/>
          </w:tcPr>
          <w:p w14:paraId="1179F92C" w14:textId="77777777" w:rsidR="00662BB3" w:rsidRPr="00E91A42" w:rsidRDefault="00662BB3" w:rsidP="00E15745">
            <w:pPr>
              <w:pStyle w:val="TableParagraph"/>
              <w:spacing w:before="120"/>
              <w:ind w:left="108" w:right="96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Pokud jde o směrnici Seveso III, která stanoví příslušný rámec pro opatření k řízení rizik s cílem předcházet závažným haváriím a omezit jejich následky, bude v prováděcím rozhodnutí stanoven čtyřletý formát pro podávání zpráv pro sdělování informací členských států o provádění, což zjednoduší a zjednoduší stávající povinnosti týkající se podávání zpráv stanovené v rozhodnutí 2014/896/EU.</w:t>
            </w:r>
          </w:p>
        </w:tc>
      </w:tr>
    </w:tbl>
    <w:p w14:paraId="5A9A2383" w14:textId="77777777" w:rsidR="00662BB3" w:rsidRPr="00E91A42" w:rsidRDefault="00662BB3" w:rsidP="00662BB3">
      <w:pPr>
        <w:pStyle w:val="Zkladntext"/>
        <w:rPr>
          <w:rFonts w:ascii="Arial" w:hAnsi="Arial" w:cs="Arial"/>
        </w:rPr>
      </w:pPr>
    </w:p>
    <w:p w14:paraId="66514409" w14:textId="77777777" w:rsidR="00662BB3" w:rsidRPr="00E91A42" w:rsidRDefault="00662BB3" w:rsidP="00662BB3">
      <w:pPr>
        <w:pStyle w:val="Zkladntext"/>
        <w:spacing w:before="1"/>
        <w:rPr>
          <w:rFonts w:ascii="Arial" w:hAnsi="Arial" w:cs="Arial"/>
        </w:rPr>
      </w:pPr>
    </w:p>
    <w:tbl>
      <w:tblPr>
        <w:tblStyle w:val="TableNormal"/>
        <w:tblW w:w="0" w:type="auto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78"/>
        <w:gridCol w:w="9500"/>
      </w:tblGrid>
      <w:tr w:rsidR="00662BB3" w:rsidRPr="00E91A42" w14:paraId="1E858F8D" w14:textId="77777777" w:rsidTr="00E15745">
        <w:trPr>
          <w:trHeight w:val="469"/>
        </w:trPr>
        <w:tc>
          <w:tcPr>
            <w:tcW w:w="14744" w:type="dxa"/>
            <w:gridSpan w:val="3"/>
            <w:tcBorders>
              <w:bottom w:val="single" w:sz="12" w:space="0" w:color="000000"/>
            </w:tcBorders>
            <w:shd w:val="clear" w:color="auto" w:fill="004493"/>
          </w:tcPr>
          <w:p w14:paraId="56ABF93D" w14:textId="77777777" w:rsidR="00662BB3" w:rsidRPr="00E91A42" w:rsidRDefault="00662BB3" w:rsidP="00E15745">
            <w:pPr>
              <w:pStyle w:val="TableParagraph"/>
              <w:spacing w:before="120"/>
              <w:ind w:left="20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color w:val="FFFFFF"/>
                <w:sz w:val="20"/>
              </w:rPr>
              <w:t>Oddíl C – Hodnocení a kontroly účelnosti pro rok 2024</w:t>
            </w:r>
          </w:p>
        </w:tc>
      </w:tr>
      <w:tr w:rsidR="00662BB3" w:rsidRPr="00E91A42" w14:paraId="79ECB948" w14:textId="77777777" w:rsidTr="00E15745">
        <w:trPr>
          <w:trHeight w:val="469"/>
        </w:trPr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4E0C767" w14:textId="77777777" w:rsidR="00662BB3" w:rsidRPr="00E91A42" w:rsidRDefault="00662BB3" w:rsidP="00E15745">
            <w:pPr>
              <w:pStyle w:val="TableParagraph"/>
              <w:spacing w:before="120"/>
              <w:ind w:left="136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5"/>
                <w:sz w:val="20"/>
              </w:rPr>
              <w:t>Ne.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E4E7038" w14:textId="77777777" w:rsidR="00662BB3" w:rsidRPr="00E91A42" w:rsidRDefault="00662BB3" w:rsidP="00E15745">
            <w:pPr>
              <w:pStyle w:val="TableParagraph"/>
              <w:spacing w:before="120"/>
              <w:ind w:left="17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Titul</w:t>
            </w:r>
          </w:p>
        </w:tc>
        <w:tc>
          <w:tcPr>
            <w:tcW w:w="9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233D7DA" w14:textId="77777777" w:rsidR="00662BB3" w:rsidRPr="00E91A42" w:rsidRDefault="00662BB3" w:rsidP="00E15745">
            <w:pPr>
              <w:pStyle w:val="TableParagraph"/>
              <w:spacing w:before="120"/>
              <w:ind w:left="13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Popis</w:t>
            </w:r>
          </w:p>
        </w:tc>
      </w:tr>
      <w:tr w:rsidR="00662BB3" w:rsidRPr="00E91A42" w14:paraId="64888249" w14:textId="77777777" w:rsidTr="00E15745">
        <w:trPr>
          <w:trHeight w:val="20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FF5D" w14:textId="77777777" w:rsidR="00662BB3" w:rsidRPr="00E91A42" w:rsidRDefault="00662BB3" w:rsidP="00E15745">
            <w:pPr>
              <w:pStyle w:val="TableParagraph"/>
              <w:spacing w:before="120"/>
              <w:ind w:left="110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3E2C" w14:textId="77777777" w:rsidR="00662BB3" w:rsidRPr="00E91A42" w:rsidRDefault="00662BB3" w:rsidP="00E15745">
            <w:pPr>
              <w:pStyle w:val="TableParagraph"/>
              <w:spacing w:before="120"/>
              <w:ind w:left="113" w:right="94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>Kontrola účelnosti uplatňování zásady "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znečišťovatel platí</w:t>
            </w:r>
            <w:r w:rsidRPr="00E91A42">
              <w:rPr>
                <w:rFonts w:ascii="Arial" w:hAnsi="Arial" w:cs="Arial"/>
                <w:b/>
                <w:sz w:val="20"/>
              </w:rPr>
              <w:t>" na životní prostředí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D7FB" w14:textId="77777777" w:rsidR="00662BB3" w:rsidRPr="00E91A42" w:rsidRDefault="00662BB3" w:rsidP="00E15745">
            <w:pPr>
              <w:pStyle w:val="TableParagraph"/>
              <w:spacing w:before="120"/>
              <w:ind w:left="113" w:right="92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Zásada "znečišťovatel platí" znamená, že znečišťovatelé nesou náklady na opatření k prevenci, kontrole a nápravě znečištění a jeho náklady pro společnost. Tato kontrola účelnosti posoudí, jak dobře je tato zásada uplatňována, a to i v politikách, které mohou mít dopad na životní prostředí. Kontrola účelnosti se bude vztahovat na politiky EU, které mají dopad na stav životního prostředí, v jejichž rámci jsou přírodní zdroje spravovány udržitelným způsobem a biologická rozmanitost je chráněna, mimo jiné snižováním znečištění ovzduší, vody a půdy. Bude se zabývat uplatňováním zásady "znečišťovatel platí" na úrovni členských států při uplatňování právních předpisů a politik EU a uplatňováním zásady "znečišťovatel platí" v rámci rozpočtu EU, včetně pojmu dotací, které poškozují životní prostředí. Při kontrole účelnosti se rovněž zváží případná možnost racionalizace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požadavků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na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podávání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zpráv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02FF3322" w14:textId="77777777" w:rsidTr="00E15745">
        <w:trPr>
          <w:trHeight w:val="7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2879" w14:textId="77777777" w:rsidR="00662BB3" w:rsidRPr="00E91A42" w:rsidRDefault="00662BB3" w:rsidP="00E15745">
            <w:pPr>
              <w:pStyle w:val="TableParagraph"/>
              <w:spacing w:before="120"/>
              <w:ind w:left="110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90C2" w14:textId="54F03DA9" w:rsidR="00662BB3" w:rsidRPr="00E91A42" w:rsidRDefault="00662BB3" w:rsidP="00E15745">
            <w:pPr>
              <w:pStyle w:val="TableParagraph"/>
              <w:spacing w:before="120"/>
              <w:ind w:left="113" w:right="94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Kontrola účelnosti právních předpisů EU na ochranu spotřebitele v oblasti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digitální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4468" w14:textId="3BDE29A4" w:rsidR="00662BB3" w:rsidRPr="00E91A42" w:rsidRDefault="00662BB3" w:rsidP="00E15745">
            <w:pPr>
              <w:pStyle w:val="TableParagraph"/>
              <w:spacing w:before="120"/>
              <w:ind w:left="113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Komise v novém programu pro spotřebitele z roku 2020 oznámila, že bude analyzovat, zda jsou k zajištění stejné úrovně spravedlnosti online i offline zapotřebí další opatření. Při této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kontrole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účelnosti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se </w:t>
            </w:r>
          </w:p>
        </w:tc>
      </w:tr>
    </w:tbl>
    <w:p w14:paraId="135961AB" w14:textId="77777777" w:rsidR="00662BB3" w:rsidRPr="00E91A42" w:rsidRDefault="00662BB3" w:rsidP="00662BB3">
      <w:pPr>
        <w:rPr>
          <w:rFonts w:ascii="Arial" w:hAnsi="Arial" w:cs="Arial"/>
          <w:sz w:val="20"/>
        </w:rPr>
        <w:sectPr w:rsidR="00662BB3" w:rsidRPr="00E91A42">
          <w:pgSz w:w="16840" w:h="11910" w:orient="landscape"/>
          <w:pgMar w:top="820" w:right="840" w:bottom="740" w:left="940" w:header="0" w:footer="541" w:gutter="0"/>
          <w:cols w:space="708"/>
        </w:sectPr>
      </w:pPr>
    </w:p>
    <w:p w14:paraId="67048715" w14:textId="77777777" w:rsidR="00662BB3" w:rsidRPr="00E91A42" w:rsidRDefault="00662BB3" w:rsidP="00662BB3">
      <w:pPr>
        <w:pStyle w:val="Zkladntext"/>
        <w:spacing w:before="2"/>
        <w:rPr>
          <w:rFonts w:ascii="Arial" w:hAnsi="Arial" w:cs="Arial"/>
          <w:sz w:val="2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78"/>
        <w:gridCol w:w="9500"/>
      </w:tblGrid>
      <w:tr w:rsidR="00662BB3" w:rsidRPr="00E91A42" w14:paraId="739540FE" w14:textId="77777777" w:rsidTr="00E15745">
        <w:trPr>
          <w:trHeight w:val="47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3BF16AF" w14:textId="77777777" w:rsidR="00662BB3" w:rsidRPr="00E91A42" w:rsidRDefault="00662BB3" w:rsidP="00E15745">
            <w:pPr>
              <w:pStyle w:val="TableParagraph"/>
              <w:spacing w:before="120"/>
              <w:ind w:left="134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5"/>
                <w:sz w:val="20"/>
              </w:rPr>
              <w:t>Ne.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4D5FA2F" w14:textId="77777777" w:rsidR="00662BB3" w:rsidRPr="00E91A42" w:rsidRDefault="00662BB3" w:rsidP="00E15745">
            <w:pPr>
              <w:pStyle w:val="TableParagraph"/>
              <w:spacing w:before="120"/>
              <w:ind w:left="17" w:right="5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Titul</w:t>
            </w:r>
          </w:p>
        </w:tc>
        <w:tc>
          <w:tcPr>
            <w:tcW w:w="9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FEBC945" w14:textId="77777777" w:rsidR="00662BB3" w:rsidRPr="00E91A42" w:rsidRDefault="00662BB3" w:rsidP="00E15745">
            <w:pPr>
              <w:pStyle w:val="TableParagraph"/>
              <w:spacing w:before="120"/>
              <w:ind w:left="13" w:right="4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Popis</w:t>
            </w:r>
          </w:p>
        </w:tc>
      </w:tr>
      <w:tr w:rsidR="00662BB3" w:rsidRPr="00E91A42" w14:paraId="285EFF80" w14:textId="77777777" w:rsidTr="00E15745">
        <w:trPr>
          <w:trHeight w:val="19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43D0" w14:textId="77777777" w:rsidR="00662BB3" w:rsidRPr="00E91A42" w:rsidRDefault="00662BB3" w:rsidP="00E15745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6000" w14:textId="058130C1" w:rsidR="00662BB3" w:rsidRPr="00E91A42" w:rsidRDefault="00E91A42" w:rsidP="00E15745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spravedlnosti</w:t>
            </w:r>
            <w:proofErr w:type="spellEnd"/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A6E1" w14:textId="35C90257" w:rsidR="00662BB3" w:rsidRPr="00E91A42" w:rsidRDefault="00E91A42" w:rsidP="00E15745">
            <w:pPr>
              <w:pStyle w:val="TableParagraph"/>
              <w:spacing w:before="0"/>
              <w:ind w:left="111" w:right="94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91A42">
              <w:rPr>
                <w:rFonts w:ascii="Arial" w:hAnsi="Arial" w:cs="Arial"/>
                <w:sz w:val="20"/>
              </w:rPr>
              <w:t>vyhodnotí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zda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jsou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tři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</w:t>
            </w:r>
            <w:r w:rsidR="00662BB3" w:rsidRPr="00E91A42">
              <w:rPr>
                <w:rFonts w:ascii="Arial" w:hAnsi="Arial" w:cs="Arial"/>
                <w:sz w:val="20"/>
              </w:rPr>
              <w:t>orizontální</w:t>
            </w:r>
            <w:proofErr w:type="spellEnd"/>
            <w:r w:rsidR="00662BB3"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62BB3" w:rsidRPr="00E91A42">
              <w:rPr>
                <w:rFonts w:ascii="Arial" w:hAnsi="Arial" w:cs="Arial"/>
                <w:sz w:val="20"/>
              </w:rPr>
              <w:t>nástroje</w:t>
            </w:r>
            <w:proofErr w:type="spellEnd"/>
            <w:r w:rsidR="00662BB3"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62BB3" w:rsidRPr="00E91A42">
              <w:rPr>
                <w:rFonts w:ascii="Arial" w:hAnsi="Arial" w:cs="Arial"/>
                <w:sz w:val="20"/>
              </w:rPr>
              <w:t>spotřebitelského</w:t>
            </w:r>
            <w:proofErr w:type="spellEnd"/>
            <w:r w:rsidR="00662BB3"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62BB3" w:rsidRPr="00E91A42">
              <w:rPr>
                <w:rFonts w:ascii="Arial" w:hAnsi="Arial" w:cs="Arial"/>
                <w:sz w:val="20"/>
              </w:rPr>
              <w:t>práva</w:t>
            </w:r>
            <w:proofErr w:type="spellEnd"/>
            <w:r w:rsidR="00662BB3" w:rsidRPr="00E91A42">
              <w:rPr>
                <w:rFonts w:ascii="Arial" w:hAnsi="Arial" w:cs="Arial"/>
                <w:sz w:val="20"/>
              </w:rPr>
              <w:t xml:space="preserve">, směrnice 2005/29/ES o nekalých obchodních praktikách, směrnice 2011/83/EU o právech spotřebitelů a směrnice EU na ochranu spotřebitele 93/13/EHS o nepřiměřených podmínkách ve spotřebitelských smlouvách, zajišťují vysokou úroveň ochrany v digitálním prostředí. Bude zkoumat přiměřenost stávajících pravidel EU při řešení otázek ochrany spotřebitele, jako jsou mimo jiné zranitelnost spotřebitelů na internetu, temné vzorce, personalizační praktiky, influencer marketing a smlouvy o předplatném. Posoudí rovněž, zda by stávajícímu právnímu rámci prospělo cílené posílení nebo racionalizace, přičemž zohlední a zajistí soudržnost s ostatními právními předpisy v digitální oblasti. Kontrola účelnosti prověří možný prostor pro případné snížení zátěže, úspory nákladů a zjednodušení, a to i s ohledem na </w:t>
            </w:r>
            <w:proofErr w:type="spellStart"/>
            <w:r w:rsidR="00662BB3" w:rsidRPr="00E91A42">
              <w:rPr>
                <w:rFonts w:ascii="Arial" w:hAnsi="Arial" w:cs="Arial"/>
                <w:sz w:val="20"/>
              </w:rPr>
              <w:t>požadavky</w:t>
            </w:r>
            <w:proofErr w:type="spellEnd"/>
            <w:r w:rsidR="00662BB3"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62BB3" w:rsidRPr="00E91A42">
              <w:rPr>
                <w:rFonts w:ascii="Arial" w:hAnsi="Arial" w:cs="Arial"/>
                <w:sz w:val="20"/>
              </w:rPr>
              <w:t>na</w:t>
            </w:r>
            <w:proofErr w:type="spellEnd"/>
            <w:r w:rsidR="00662BB3"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62BB3" w:rsidRPr="00E91A42">
              <w:rPr>
                <w:rFonts w:ascii="Arial" w:hAnsi="Arial" w:cs="Arial"/>
                <w:sz w:val="20"/>
              </w:rPr>
              <w:t>podávání</w:t>
            </w:r>
            <w:proofErr w:type="spellEnd"/>
            <w:r w:rsidR="00662BB3"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62BB3" w:rsidRPr="00E91A42">
              <w:rPr>
                <w:rFonts w:ascii="Arial" w:hAnsi="Arial" w:cs="Arial"/>
                <w:sz w:val="20"/>
              </w:rPr>
              <w:t>zpráv</w:t>
            </w:r>
            <w:proofErr w:type="spellEnd"/>
            <w:r w:rsidR="00662BB3"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65E3C5B7" w14:textId="77777777" w:rsidTr="00E15745">
        <w:trPr>
          <w:trHeight w:val="13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8B58" w14:textId="77777777" w:rsidR="00662BB3" w:rsidRPr="00E91A42" w:rsidRDefault="00662BB3" w:rsidP="00E15745">
            <w:pPr>
              <w:pStyle w:val="TableParagraph"/>
              <w:spacing w:before="122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9180" w14:textId="3C14E0FC" w:rsidR="00662BB3" w:rsidRPr="00E91A42" w:rsidRDefault="00662BB3" w:rsidP="00E15745">
            <w:pPr>
              <w:pStyle w:val="TableParagraph"/>
              <w:tabs>
                <w:tab w:val="left" w:pos="1326"/>
                <w:tab w:val="left" w:pos="1774"/>
                <w:tab w:val="left" w:pos="2323"/>
                <w:tab w:val="left" w:pos="3637"/>
              </w:tabs>
              <w:spacing w:before="120"/>
              <w:ind w:left="111" w:right="94"/>
              <w:rPr>
                <w:rFonts w:ascii="Arial" w:hAnsi="Arial" w:cs="Arial"/>
                <w:b/>
                <w:sz w:val="20"/>
              </w:rPr>
            </w:pPr>
            <w:proofErr w:type="spellStart"/>
            <w:r w:rsidRPr="00E91A42">
              <w:rPr>
                <w:rFonts w:ascii="Arial" w:hAnsi="Arial" w:cs="Arial"/>
                <w:b/>
                <w:spacing w:val="-2"/>
                <w:sz w:val="20"/>
              </w:rPr>
              <w:t>Vyhodnocení</w:t>
            </w:r>
            <w:proofErr w:type="spellEnd"/>
            <w:r w:rsidR="00E91A42">
              <w:rPr>
                <w:rFonts w:ascii="Arial" w:hAnsi="Arial" w:cs="Arial"/>
                <w:b/>
                <w:sz w:val="20"/>
              </w:rPr>
              <w:t xml:space="preserve"> </w:t>
            </w:r>
            <w:r w:rsidR="00E91A42" w:rsidRPr="00E91A42">
              <w:rPr>
                <w:rFonts w:ascii="Arial" w:hAnsi="Arial" w:cs="Arial"/>
                <w:b/>
                <w:spacing w:val="-6"/>
                <w:sz w:val="20"/>
                <w:highlight w:val="green"/>
              </w:rPr>
              <w:t>Governance regulation</w:t>
            </w:r>
            <w:r w:rsidR="00E91A4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E91A42">
              <w:rPr>
                <w:rFonts w:ascii="Arial" w:hAnsi="Arial" w:cs="Arial"/>
                <w:b/>
                <w:spacing w:val="-2"/>
                <w:sz w:val="20"/>
              </w:rPr>
              <w:t>(</w:t>
            </w:r>
            <w:proofErr w:type="spellStart"/>
            <w:r w:rsidRPr="00E91A42">
              <w:rPr>
                <w:rFonts w:ascii="Arial" w:hAnsi="Arial" w:cs="Arial"/>
                <w:b/>
                <w:spacing w:val="-2"/>
                <w:sz w:val="20"/>
              </w:rPr>
              <w:t>nařízení</w:t>
            </w:r>
            <w:proofErr w:type="spellEnd"/>
            <w:r w:rsidRPr="00E91A42">
              <w:rPr>
                <w:rFonts w:ascii="Arial" w:hAnsi="Arial" w:cs="Arial"/>
                <w:b/>
                <w:spacing w:val="-2"/>
                <w:sz w:val="20"/>
              </w:rPr>
              <w:t xml:space="preserve"> (EU) 2018/1999)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AFDE" w14:textId="77777777" w:rsidR="00662BB3" w:rsidRPr="00E91A42" w:rsidRDefault="00662BB3" w:rsidP="00E15745">
            <w:pPr>
              <w:pStyle w:val="TableParagraph"/>
              <w:spacing w:before="120"/>
              <w:ind w:left="111" w:right="97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Cílem nařízení o správě je zefektivnit a racionalizovat povinnosti členských států v oblasti podávání zpráv v rámci acquis v oblasti energetiky a klimatu. Hodnocení má odhalit účinnost dosavadních ustanovení tohoto nařízení a prozkoumat případné možnosti další racionalizace. Hodnocení může zdůraznit potřebu dalšího zefektivnění v důsledku nového legislativního rámce v oblasti energetiky a klimatu, který vychází z cílů </w:t>
            </w:r>
            <w:proofErr w:type="gramStart"/>
            <w:r w:rsidRPr="00E91A42">
              <w:rPr>
                <w:rFonts w:ascii="Arial" w:hAnsi="Arial" w:cs="Arial"/>
                <w:sz w:val="20"/>
              </w:rPr>
              <w:t>a</w:t>
            </w:r>
            <w:proofErr w:type="gramEnd"/>
            <w:r w:rsidRPr="00E91A42">
              <w:rPr>
                <w:rFonts w:ascii="Arial" w:hAnsi="Arial" w:cs="Arial"/>
                <w:sz w:val="20"/>
              </w:rPr>
              <w:t xml:space="preserve"> ambicí balíčku "Fit for 55" a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REPowerEU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12B0F695" w14:textId="77777777" w:rsidTr="00E15745">
        <w:trPr>
          <w:trHeight w:val="23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F73D" w14:textId="77777777" w:rsidR="00662BB3" w:rsidRPr="00E91A42" w:rsidRDefault="00662BB3" w:rsidP="00E15745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BF5F" w14:textId="77777777" w:rsidR="00662BB3" w:rsidRPr="00E91A42" w:rsidRDefault="00662BB3" w:rsidP="00E15745">
            <w:pPr>
              <w:pStyle w:val="TableParagraph"/>
              <w:spacing w:before="120"/>
              <w:ind w:left="111" w:right="94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Hodnocení směrnice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o odpadních elektrických a elektronických zařízeních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(směrnice 2012/19/EU)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5BAE" w14:textId="77777777" w:rsidR="00662BB3" w:rsidRPr="00E91A42" w:rsidRDefault="00662BB3" w:rsidP="00E15745">
            <w:pPr>
              <w:pStyle w:val="TableParagraph"/>
              <w:spacing w:before="120"/>
              <w:ind w:left="111" w:right="92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Hodnocení bylo oznámeno v zákoně o kritických surovinách. Cílem právních předpisů EU o odpadech z elektrických a elektronických zařízení je chránit životní prostředí a lidské zdraví, přispívat k udržitelné výrobě a spotřebě a zajistit účinné využívání zdrojů prostřednictvím předcházení vzniku odpadů a jejich využití. S rostoucí spotřebou elektroniky a technologickým vývojem se odpadní elektrická a elektronická zařízení stala jedním z nejrychleji rostoucích toků odpadů v EU (a celosvětově). Hodnocení zhodnotí fungování směrnice. Posoudí, zda jsou splněny cíle a jaký význam má směrnice, zejména pro zavedení oběhového hospodářství pro elektrická a elektronická zařízení, které přispívá k opětovnému použití, a tím i k nezávislosti Evropské unie na kritických surovinách. Hodnocení rovněž prozkoumá možnosti racionalizace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požadavků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na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podávání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zpráv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747DE65F" w14:textId="77777777" w:rsidTr="00E15745">
        <w:trPr>
          <w:trHeight w:val="3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79D6" w14:textId="77777777" w:rsidR="00662BB3" w:rsidRPr="00E91A42" w:rsidRDefault="00662BB3" w:rsidP="00E15745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DA11" w14:textId="77777777" w:rsidR="00662BB3" w:rsidRPr="00E91A42" w:rsidRDefault="00662BB3" w:rsidP="00E15745">
            <w:pPr>
              <w:pStyle w:val="TableParagraph"/>
              <w:spacing w:before="120"/>
              <w:ind w:left="111" w:right="94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Hodnocení rámcové směrnice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strategii pro mořské prostředí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(směrnice 2008/56/ES)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710D" w14:textId="77777777" w:rsidR="00662BB3" w:rsidRPr="00E91A42" w:rsidRDefault="00662BB3" w:rsidP="00E15745">
            <w:pPr>
              <w:pStyle w:val="TableParagraph"/>
              <w:spacing w:before="120"/>
              <w:ind w:left="111" w:right="91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Rámcová směrnice o strategii pro mořské prostředí vyžaduje, aby členské státy vypracovaly strategie k dosažení "dobrého stavu prostředí", aby do roku 2020 měly čistá, zdravá a produktivní moře. Toto hodnocení posoudí úspěchy a nedostatky rámce a účinnost strategií pro mořské prostředí, včetně povinností v oblasti monitorování, posuzování a podávání zpráv. Prozkoumá možný prostor pro zjednodušení a snížení administrativní zátěže, zejména omezením a usnadněním podávání zpráv členskými státy, a budoucím zefektivněním a harmonizací požadavků na monitorování a shromážděných údajů pro další použití při posuzování členskými státy. Posoudí rovněž význam rámce v souvislosti se Zelenou dohodou pro Evropu, zejména s ohledem na strategii EU v oblasti biologické rozmanitosti do roku 2030, akční plán pro nulové znečištění, strategii "od zemědělce ke spotřebiteli" (zejména ve vztahu k rybolovu a akvakultuře), strategii pro udržitelnou a inteligentní mobilitu (námořní doprava) a výrobu čisté energie. Hodnocení se zaměří na přínos směrnice k těmto iniciativám, jakož i na příležitosti a výzvy, které představují, s celkovým cílem zajistit, aby EU pokročila směrem k účinnější, harmonizovanější a účelnější ochraně svých moří a oceánů v souladu se Zelenou dohodou. Kromě toho budou prozkoumány veškeré možnosti zefektivnění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požadavků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na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podávání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zpráv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11F3786" w14:textId="77777777" w:rsidR="00662BB3" w:rsidRPr="00E91A42" w:rsidRDefault="00662BB3" w:rsidP="00662BB3">
      <w:pPr>
        <w:rPr>
          <w:rFonts w:ascii="Arial" w:hAnsi="Arial" w:cs="Arial"/>
          <w:sz w:val="20"/>
        </w:rPr>
        <w:sectPr w:rsidR="00662BB3" w:rsidRPr="00E91A42">
          <w:pgSz w:w="16840" w:h="11910" w:orient="landscape"/>
          <w:pgMar w:top="820" w:right="840" w:bottom="740" w:left="940" w:header="0" w:footer="541" w:gutter="0"/>
          <w:cols w:space="708"/>
        </w:sectPr>
      </w:pPr>
    </w:p>
    <w:p w14:paraId="55A1F163" w14:textId="77777777" w:rsidR="00662BB3" w:rsidRPr="00E91A42" w:rsidRDefault="00662BB3" w:rsidP="00662BB3">
      <w:pPr>
        <w:pStyle w:val="Zkladntext"/>
        <w:spacing w:before="2"/>
        <w:rPr>
          <w:rFonts w:ascii="Arial" w:hAnsi="Arial" w:cs="Arial"/>
          <w:sz w:val="2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78"/>
        <w:gridCol w:w="9500"/>
      </w:tblGrid>
      <w:tr w:rsidR="00662BB3" w:rsidRPr="00E91A42" w14:paraId="5190CD06" w14:textId="77777777" w:rsidTr="00E15745">
        <w:trPr>
          <w:trHeight w:val="47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0B63769" w14:textId="77777777" w:rsidR="00662BB3" w:rsidRPr="00E91A42" w:rsidRDefault="00662BB3" w:rsidP="00E15745">
            <w:pPr>
              <w:pStyle w:val="TableParagraph"/>
              <w:spacing w:before="120"/>
              <w:ind w:left="134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5"/>
                <w:sz w:val="20"/>
              </w:rPr>
              <w:t>Ne.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97885D2" w14:textId="77777777" w:rsidR="00662BB3" w:rsidRPr="00E91A42" w:rsidRDefault="00662BB3" w:rsidP="00E15745">
            <w:pPr>
              <w:pStyle w:val="TableParagraph"/>
              <w:spacing w:before="120"/>
              <w:ind w:left="17" w:right="5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Titul</w:t>
            </w:r>
          </w:p>
        </w:tc>
        <w:tc>
          <w:tcPr>
            <w:tcW w:w="9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FB2987E" w14:textId="77777777" w:rsidR="00662BB3" w:rsidRPr="00E91A42" w:rsidRDefault="00662BB3" w:rsidP="00E15745">
            <w:pPr>
              <w:pStyle w:val="TableParagraph"/>
              <w:spacing w:before="120"/>
              <w:ind w:left="13" w:right="4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Popis</w:t>
            </w:r>
          </w:p>
        </w:tc>
      </w:tr>
      <w:tr w:rsidR="00662BB3" w:rsidRPr="00E91A42" w14:paraId="2E3E19D8" w14:textId="77777777" w:rsidTr="00E15745">
        <w:trPr>
          <w:trHeight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424F" w14:textId="56B68059" w:rsidR="00662BB3" w:rsidRPr="00E91A42" w:rsidRDefault="00E91A42" w:rsidP="00E91A42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B673" w14:textId="2E78262E" w:rsidR="00662BB3" w:rsidRPr="00E91A42" w:rsidRDefault="00E91A42" w:rsidP="00E15745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  <w:proofErr w:type="spellStart"/>
            <w:r w:rsidRPr="00E91A42">
              <w:rPr>
                <w:rFonts w:ascii="Arial" w:hAnsi="Arial" w:cs="Arial"/>
                <w:b/>
                <w:spacing w:val="-2"/>
                <w:sz w:val="20"/>
              </w:rPr>
              <w:t>Vyhodnocení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směrnice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k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vodě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určené</w:t>
            </w:r>
            <w:proofErr w:type="spellEnd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pro </w:t>
            </w:r>
            <w:proofErr w:type="spellStart"/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koupání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91A42">
              <w:rPr>
                <w:rFonts w:ascii="Arial" w:hAnsi="Arial" w:cs="Arial"/>
                <w:b/>
                <w:sz w:val="20"/>
              </w:rPr>
              <w:tab/>
            </w:r>
            <w:r w:rsidRPr="00E91A42">
              <w:rPr>
                <w:rFonts w:ascii="Arial" w:hAnsi="Arial" w:cs="Arial"/>
                <w:b/>
                <w:spacing w:val="-2"/>
                <w:sz w:val="20"/>
              </w:rPr>
              <w:t xml:space="preserve"> (</w:t>
            </w:r>
            <w:proofErr w:type="spellStart"/>
            <w:r w:rsidRPr="00E91A42">
              <w:rPr>
                <w:rFonts w:ascii="Arial" w:hAnsi="Arial" w:cs="Arial"/>
                <w:b/>
                <w:spacing w:val="-2"/>
                <w:sz w:val="20"/>
              </w:rPr>
              <w:t>směrnice</w:t>
            </w:r>
            <w:proofErr w:type="spellEnd"/>
            <w:r w:rsidRPr="00E91A42">
              <w:rPr>
                <w:rFonts w:ascii="Arial" w:hAnsi="Arial" w:cs="Arial"/>
                <w:b/>
                <w:spacing w:val="-2"/>
                <w:sz w:val="20"/>
              </w:rPr>
              <w:t xml:space="preserve"> 2006/7/ES)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4D3E" w14:textId="067D378C" w:rsidR="00662BB3" w:rsidRPr="00E91A42" w:rsidRDefault="00E91A42" w:rsidP="00E15745">
            <w:pPr>
              <w:pStyle w:val="TableParagraph"/>
              <w:spacing w:before="0"/>
              <w:ind w:left="111" w:right="104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91A42">
              <w:rPr>
                <w:rFonts w:ascii="Arial" w:hAnsi="Arial" w:cs="Arial"/>
                <w:sz w:val="20"/>
              </w:rPr>
              <w:t>Hodnocení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posoudí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, jak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směrnice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funguje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, a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zejména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zda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přispěla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k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ochraně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veřejného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zdraví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čisté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vody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, a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doplní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úsilí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členských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států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Prozkoumá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různé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možnosti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zjednodušení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a/</w:t>
            </w:r>
            <w:proofErr w:type="spellStart"/>
            <w:proofErr w:type="gramStart"/>
            <w:r w:rsidRPr="00E91A42">
              <w:rPr>
                <w:rFonts w:ascii="Arial" w:hAnsi="Arial" w:cs="Arial"/>
                <w:sz w:val="20"/>
              </w:rPr>
              <w:t>nebo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62BB3" w:rsidRPr="00E91A42">
              <w:rPr>
                <w:rFonts w:ascii="Arial" w:hAnsi="Arial" w:cs="Arial"/>
                <w:sz w:val="20"/>
              </w:rPr>
              <w:t>zlepšení</w:t>
            </w:r>
            <w:proofErr w:type="spellEnd"/>
            <w:proofErr w:type="gramEnd"/>
            <w:r w:rsidR="00662BB3" w:rsidRPr="00E91A42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662BB3" w:rsidRPr="00E91A42">
              <w:rPr>
                <w:rFonts w:ascii="Arial" w:hAnsi="Arial" w:cs="Arial"/>
                <w:sz w:val="20"/>
              </w:rPr>
              <w:t>např</w:t>
            </w:r>
            <w:proofErr w:type="spellEnd"/>
            <w:r w:rsidR="00662BB3" w:rsidRPr="00E91A42">
              <w:rPr>
                <w:rFonts w:ascii="Arial" w:hAnsi="Arial" w:cs="Arial"/>
                <w:sz w:val="20"/>
              </w:rPr>
              <w:t>. racionalizace) právních předpisů v rámci požadavků monitorování, kritérií pro posuzování kvality, podávání zpráv, ale také informování/účasti veřejnosti. Mezi tyto možnosti patří zlepšení prostřednictvím zvýšeného využívání technologií a zjednodušení odstraněním požadavků, které mohou být zbytečné.</w:t>
            </w:r>
          </w:p>
        </w:tc>
      </w:tr>
      <w:tr w:rsidR="00662BB3" w:rsidRPr="00E91A42" w14:paraId="3973285B" w14:textId="77777777" w:rsidTr="00E15745">
        <w:trPr>
          <w:trHeight w:val="25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308A" w14:textId="77777777" w:rsidR="00662BB3" w:rsidRPr="00E91A42" w:rsidRDefault="00662BB3" w:rsidP="00E15745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D307" w14:textId="77777777" w:rsidR="00662BB3" w:rsidRPr="00E91A42" w:rsidRDefault="00662BB3" w:rsidP="00E15745">
            <w:pPr>
              <w:pStyle w:val="TableParagraph"/>
              <w:spacing w:before="120"/>
              <w:ind w:left="111" w:right="94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Hodnocení směrnice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dusičnanech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(směrnice 91/676/EHS)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BCE3" w14:textId="77777777" w:rsidR="00662BB3" w:rsidRPr="00E91A42" w:rsidRDefault="00662BB3" w:rsidP="00E15745">
            <w:pPr>
              <w:pStyle w:val="TableParagraph"/>
              <w:spacing w:before="120"/>
              <w:ind w:left="111" w:right="96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Hodnocení by mělo posoudit, zda je směrnice o dusičnanech i nadále vhodná pro daný účel, zda je v souladu s ambicemi EU v oblasti životního prostředí a klimatu a přispívá k udržitelnému a odolnému zemědělství a potravinovému zabezpečení. Hodnocení se zaměří na to, zda směrnice v měnících se klimatických a environmentálních podmínkách pomáhá zemědělcům přizpůsobit se a zvyšovat odolnost, zda podporuje nové zemědělské postupy a zároveň dostatečně podporuje recyklaci živin z různých zdrojů, včetně zpracovaného hnoje. Hodnocení rovněž posoudí, jak může směrnice přispět k závazkům přijatým na Úmluvě o biologické rozmanitosti (CBD 15) konference smluvních stran 15 (COP 15) s cílem snížit do roku 2030 ztráty živin o 50 %. Klíčovým cílem bude rovněž prozkoumat možnosti zjednodušení, snížení zátěže a nákladů se zaměřením na větší soudržnost s dalšími právními předpisy a vývojem zemědělských postupů a technologií (např. přesné zemědělství,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bezpečné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používání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produktů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ReNure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).</w:t>
            </w:r>
          </w:p>
        </w:tc>
      </w:tr>
      <w:tr w:rsidR="00662BB3" w:rsidRPr="00E91A42" w14:paraId="71C95AC8" w14:textId="77777777" w:rsidTr="00E15745">
        <w:trPr>
          <w:trHeight w:val="1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0760" w14:textId="77777777" w:rsidR="00662BB3" w:rsidRPr="00E91A42" w:rsidRDefault="00662BB3" w:rsidP="00E15745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98F5" w14:textId="77777777" w:rsidR="00662BB3" w:rsidRPr="00E91A42" w:rsidRDefault="00662BB3" w:rsidP="00E15745">
            <w:pPr>
              <w:pStyle w:val="TableParagraph"/>
              <w:spacing w:before="120"/>
              <w:ind w:left="111" w:right="94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Hodnocení směrnice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o civilních výbušninách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(směrnice 2014/28/EU)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D9DB" w14:textId="77777777" w:rsidR="00662BB3" w:rsidRPr="00E91A42" w:rsidRDefault="00662BB3" w:rsidP="00E15745">
            <w:pPr>
              <w:pStyle w:val="TableParagraph"/>
              <w:spacing w:before="120"/>
              <w:ind w:left="111" w:right="94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V rámci hodnocení bude posouzena výkonnost směrnice o civilních výbušninách, včetně prováděcích aktů. Bude se zabývat odvětvovými ustanoveními směrnice, přičemž bude vycházet z hodnocení ustanovení nového legislativního rámce. Prozkoumá rovněž možné synergie mezi touto směrnicí a směrnicí o pyrotechnických výrobcích nebo jinými akty Unie v souvisejících odvětvích. Posoudí potenciál zjednodušit sledovatelnost výbušnin pro civilní použití v souvislosti s jejich přeshraničním přenosem v důsledku digitalizace a prozkoumá možnosti zefektivnění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podávání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zpráv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podle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směrnice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68D8D8E2" w14:textId="77777777" w:rsidTr="00E15745">
        <w:trPr>
          <w:trHeight w:val="18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9BA6" w14:textId="77777777" w:rsidR="00662BB3" w:rsidRPr="00E91A42" w:rsidRDefault="00662BB3" w:rsidP="00E15745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05D8" w14:textId="77777777" w:rsidR="00662BB3" w:rsidRPr="00E91A42" w:rsidRDefault="00662BB3" w:rsidP="00E15745">
            <w:pPr>
              <w:pStyle w:val="TableParagraph"/>
              <w:spacing w:before="120"/>
              <w:ind w:left="111" w:right="94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Hodnocení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směrnice o pyrotechnických výrobcích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(směrnice 2013/29/EU)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27CE" w14:textId="77777777" w:rsidR="00662BB3" w:rsidRPr="00E91A42" w:rsidRDefault="00662BB3" w:rsidP="00E15745">
            <w:pPr>
              <w:pStyle w:val="TableParagraph"/>
              <w:spacing w:before="120"/>
              <w:ind w:left="111" w:right="93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V rámci hodnocení bude posouzena výkonnost směrnice o pyrotechnických výrobcích, včetně prováděcích aktů. Bude se zabývat konkrétními ustanoveními směrnice, přičemž bude vycházet z hodnocení ustanovení nového legislativního rámce. Na základě provádění směrnice bude hodnocení rovněž posuzovat možné problémy týkající se kategorizace zábavní pyrotechniky a aspekty související s možností zavedení přísnějších vnitrostátních pravidel pro určité druhy zábavní pyrotechniky. Posoudí potenciální přidanou hodnotu zavedení synergií mezi touto směrnicí a směrnicí o civilních výbušninách nebo jinými akty Unie v souvisejících odvětvích, jakož i zefektivnění požadavků na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podávání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zpráv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podle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směrnice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46A7A4CD" w14:textId="77777777" w:rsidTr="00E15745">
        <w:trPr>
          <w:trHeight w:val="1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4824" w14:textId="77777777" w:rsidR="00662BB3" w:rsidRPr="00E91A42" w:rsidRDefault="00662BB3" w:rsidP="00E15745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7872" w14:textId="77777777" w:rsidR="00662BB3" w:rsidRPr="00E91A42" w:rsidRDefault="00662BB3" w:rsidP="00E15745">
            <w:pPr>
              <w:pStyle w:val="TableParagraph"/>
              <w:spacing w:before="120"/>
              <w:ind w:left="111" w:right="94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Hodnocení směrnice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měřicích přístrojích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(směrnice 2014/32/EU)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B8C8" w14:textId="77777777" w:rsidR="00662BB3" w:rsidRPr="00E91A42" w:rsidRDefault="00662BB3" w:rsidP="00E15745">
            <w:pPr>
              <w:pStyle w:val="TableParagraph"/>
              <w:spacing w:before="120"/>
              <w:ind w:left="111" w:right="94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V rámci hodnocení bude posouzeno fungování směrnice o měřicích přístrojích. Bude zkoumat oblast působnosti (sortiment výrobků) směrnice a technické požadavky na všechny výrobky spadající do její oblasti působnosti. Zaměří se také na základní požadavky a ověří, zda jsou s ohledem na technologický pokrok a současný stav technologií stále vhodné pro daný účel. Hodnocení se rovněž zaměří na aspekty dodržování předpisů v digitální oblasti a zváží možnost zjednodušení oznamovacích povinností členských států vyplývajících ze směrnice.</w:t>
            </w:r>
          </w:p>
        </w:tc>
      </w:tr>
      <w:tr w:rsidR="00662BB3" w:rsidRPr="00E91A42" w14:paraId="446FA956" w14:textId="77777777" w:rsidTr="00E15745">
        <w:trPr>
          <w:trHeight w:val="13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25A4" w14:textId="77777777" w:rsidR="00662BB3" w:rsidRPr="00E91A42" w:rsidRDefault="00662BB3" w:rsidP="00E15745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lastRenderedPageBreak/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BDE7" w14:textId="0E548862" w:rsidR="00662BB3" w:rsidRPr="00E91A42" w:rsidRDefault="00662BB3" w:rsidP="00E15745">
            <w:pPr>
              <w:pStyle w:val="TableParagraph"/>
              <w:tabs>
                <w:tab w:val="left" w:pos="1280"/>
                <w:tab w:val="left" w:pos="1685"/>
                <w:tab w:val="left" w:pos="2189"/>
                <w:tab w:val="left" w:pos="3752"/>
              </w:tabs>
              <w:spacing w:before="120"/>
              <w:ind w:left="111" w:right="93"/>
              <w:rPr>
                <w:rFonts w:ascii="Arial" w:hAnsi="Arial" w:cs="Arial"/>
                <w:b/>
                <w:sz w:val="20"/>
              </w:rPr>
            </w:pPr>
            <w:proofErr w:type="spellStart"/>
            <w:proofErr w:type="gramStart"/>
            <w:r w:rsidRPr="00E91A42">
              <w:rPr>
                <w:rFonts w:ascii="Arial" w:hAnsi="Arial" w:cs="Arial"/>
                <w:b/>
                <w:spacing w:val="-2"/>
                <w:sz w:val="20"/>
              </w:rPr>
              <w:t>Vyhodnocení</w:t>
            </w:r>
            <w:proofErr w:type="spellEnd"/>
            <w:r w:rsidR="00E91A42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E91A4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E91A42" w:rsidRPr="00E91A42">
              <w:rPr>
                <w:rFonts w:ascii="Arial" w:hAnsi="Arial" w:cs="Arial"/>
                <w:b/>
                <w:sz w:val="20"/>
              </w:rPr>
              <w:t>Směrnice</w:t>
            </w:r>
            <w:proofErr w:type="spellEnd"/>
            <w:proofErr w:type="gramEnd"/>
            <w:r w:rsidR="00E91A42" w:rsidRPr="00E91A42">
              <w:rPr>
                <w:rFonts w:ascii="Arial" w:hAnsi="Arial" w:cs="Arial"/>
                <w:b/>
                <w:sz w:val="20"/>
              </w:rPr>
              <w:t xml:space="preserve"> o </w:t>
            </w:r>
            <w:proofErr w:type="spellStart"/>
            <w:r w:rsidR="00E91A42" w:rsidRPr="00E91A42">
              <w:rPr>
                <w:rFonts w:ascii="Arial" w:hAnsi="Arial" w:cs="Arial"/>
                <w:b/>
                <w:sz w:val="20"/>
                <w:highlight w:val="green"/>
              </w:rPr>
              <w:t>neautomatických</w:t>
            </w:r>
            <w:proofErr w:type="spellEnd"/>
            <w:r w:rsidR="00E91A42" w:rsidRPr="00E91A42">
              <w:rPr>
                <w:rFonts w:ascii="Arial" w:hAnsi="Arial" w:cs="Arial"/>
                <w:b/>
                <w:sz w:val="20"/>
                <w:highlight w:val="green"/>
              </w:rPr>
              <w:t xml:space="preserve"> </w:t>
            </w:r>
            <w:proofErr w:type="spellStart"/>
            <w:r w:rsidR="00E91A42" w:rsidRPr="00E91A42">
              <w:rPr>
                <w:rFonts w:ascii="Arial" w:hAnsi="Arial" w:cs="Arial"/>
                <w:b/>
                <w:sz w:val="20"/>
                <w:highlight w:val="green"/>
              </w:rPr>
              <w:t>vahách</w:t>
            </w:r>
            <w:proofErr w:type="spellEnd"/>
            <w:r w:rsidRPr="00E91A42">
              <w:rPr>
                <w:rFonts w:ascii="Arial" w:hAnsi="Arial" w:cs="Arial"/>
                <w:b/>
                <w:spacing w:val="-2"/>
                <w:sz w:val="20"/>
              </w:rPr>
              <w:t xml:space="preserve"> (</w:t>
            </w:r>
            <w:proofErr w:type="spellStart"/>
            <w:r w:rsidRPr="00E91A42">
              <w:rPr>
                <w:rFonts w:ascii="Arial" w:hAnsi="Arial" w:cs="Arial"/>
                <w:b/>
                <w:spacing w:val="-2"/>
                <w:sz w:val="20"/>
              </w:rPr>
              <w:t>směrnice</w:t>
            </w:r>
            <w:proofErr w:type="spellEnd"/>
            <w:r w:rsidRPr="00E91A42">
              <w:rPr>
                <w:rFonts w:ascii="Arial" w:hAnsi="Arial" w:cs="Arial"/>
                <w:b/>
                <w:spacing w:val="-2"/>
                <w:sz w:val="20"/>
              </w:rPr>
              <w:t xml:space="preserve"> 2014/31/EU)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F8AC" w14:textId="77777777" w:rsidR="00662BB3" w:rsidRPr="00E91A42" w:rsidRDefault="00662BB3" w:rsidP="00E15745">
            <w:pPr>
              <w:pStyle w:val="TableParagraph"/>
              <w:spacing w:before="120"/>
              <w:ind w:left="111" w:right="101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>Účelem hodnocení bude posouzení fungování směrnice. Bude zkoumat oblast působnosti (sortiment výrobků) směrnice a technické požadavky na všechny výrobky spadající do její oblasti působnosti. Zaměří se na základní požadavky a ověří, zda jsou stále vhodné pro daný účel s ohledem na technologický pokrok a současný stav techniky v této oblasti. Hodnocení se rovněž zaměří na otázku dodržování předpisů v digitální oblasti a zváží možnost zjednodušení oznamovacích povinností členských států vyplývajících ze směrnice.</w:t>
            </w:r>
          </w:p>
        </w:tc>
      </w:tr>
    </w:tbl>
    <w:p w14:paraId="0AC033B1" w14:textId="77777777" w:rsidR="00662BB3" w:rsidRPr="00E91A42" w:rsidRDefault="00662BB3" w:rsidP="00662BB3">
      <w:pPr>
        <w:jc w:val="both"/>
        <w:rPr>
          <w:rFonts w:ascii="Arial" w:hAnsi="Arial" w:cs="Arial"/>
          <w:sz w:val="20"/>
        </w:rPr>
        <w:sectPr w:rsidR="00662BB3" w:rsidRPr="00E91A42">
          <w:pgSz w:w="16840" w:h="11910" w:orient="landscape"/>
          <w:pgMar w:top="820" w:right="840" w:bottom="740" w:left="940" w:header="0" w:footer="541" w:gutter="0"/>
          <w:cols w:space="708"/>
        </w:sectPr>
      </w:pPr>
    </w:p>
    <w:p w14:paraId="0A8BD2EA" w14:textId="77777777" w:rsidR="00662BB3" w:rsidRPr="00E91A42" w:rsidRDefault="00662BB3" w:rsidP="00662BB3">
      <w:pPr>
        <w:pStyle w:val="Zkladntext"/>
        <w:spacing w:before="2"/>
        <w:rPr>
          <w:rFonts w:ascii="Arial" w:hAnsi="Arial" w:cs="Arial"/>
          <w:sz w:val="2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78"/>
        <w:gridCol w:w="9500"/>
      </w:tblGrid>
      <w:tr w:rsidR="00662BB3" w:rsidRPr="00E91A42" w14:paraId="5F685975" w14:textId="77777777" w:rsidTr="00E15745">
        <w:trPr>
          <w:trHeight w:val="47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12704AB" w14:textId="77777777" w:rsidR="00662BB3" w:rsidRPr="00E91A42" w:rsidRDefault="00662BB3" w:rsidP="00E15745">
            <w:pPr>
              <w:pStyle w:val="TableParagraph"/>
              <w:spacing w:before="120"/>
              <w:ind w:left="91" w:right="85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5"/>
                <w:sz w:val="20"/>
              </w:rPr>
              <w:t>Ne.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0EAEDA9" w14:textId="77777777" w:rsidR="00662BB3" w:rsidRPr="00E91A42" w:rsidRDefault="00662BB3" w:rsidP="00E15745">
            <w:pPr>
              <w:pStyle w:val="TableParagraph"/>
              <w:spacing w:before="120"/>
              <w:ind w:left="17" w:right="5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Titul</w:t>
            </w:r>
          </w:p>
        </w:tc>
        <w:tc>
          <w:tcPr>
            <w:tcW w:w="9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FAC488F" w14:textId="77777777" w:rsidR="00662BB3" w:rsidRPr="00E91A42" w:rsidRDefault="00662BB3" w:rsidP="00E15745">
            <w:pPr>
              <w:pStyle w:val="TableParagraph"/>
              <w:spacing w:before="120"/>
              <w:ind w:left="13" w:right="4"/>
              <w:jc w:val="center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pacing w:val="-2"/>
                <w:sz w:val="20"/>
              </w:rPr>
              <w:t>Popis</w:t>
            </w:r>
          </w:p>
        </w:tc>
      </w:tr>
      <w:tr w:rsidR="00662BB3" w:rsidRPr="00E91A42" w14:paraId="209724A7" w14:textId="77777777" w:rsidTr="00E15745">
        <w:trPr>
          <w:trHeight w:val="3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D098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310F" w14:textId="77777777" w:rsidR="00662BB3" w:rsidRPr="00E91A42" w:rsidRDefault="00662BB3" w:rsidP="00E15745">
            <w:pPr>
              <w:pStyle w:val="TableParagraph"/>
              <w:spacing w:before="120"/>
              <w:ind w:left="111" w:right="94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Hodnocení fungování nařízení o evropské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normalizaci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(nařízení (EU) č. 1025/2012)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DE20" w14:textId="77777777" w:rsidR="00662BB3" w:rsidRPr="00E91A42" w:rsidRDefault="00662BB3" w:rsidP="00E15745">
            <w:pPr>
              <w:pStyle w:val="TableParagraph"/>
              <w:spacing w:before="120"/>
              <w:ind w:left="111" w:right="96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Povaha technické normalizace se v posledním desetiletí změnila na vnitrostátní, evropské i celosvětové úrovni.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Strategie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Komise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hyperlink r:id="rId8">
              <w:r w:rsidRPr="00E91A42">
                <w:rPr>
                  <w:rFonts w:ascii="Arial" w:hAnsi="Arial" w:cs="Arial"/>
                  <w:sz w:val="20"/>
                </w:rPr>
                <w:t xml:space="preserve"> pro </w:t>
              </w:r>
              <w:proofErr w:type="spellStart"/>
              <w:r w:rsidRPr="00E91A42">
                <w:rPr>
                  <w:rFonts w:ascii="Arial" w:hAnsi="Arial" w:cs="Arial"/>
                  <w:sz w:val="20"/>
                </w:rPr>
                <w:t>normalizaci</w:t>
              </w:r>
              <w:proofErr w:type="spellEnd"/>
            </w:hyperlink>
            <w:r w:rsidRPr="00E91A42">
              <w:rPr>
                <w:rFonts w:ascii="Arial" w:hAnsi="Arial" w:cs="Arial"/>
                <w:sz w:val="20"/>
              </w:rPr>
              <w:t xml:space="preserve"> z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února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2022 stanovila výzvy a soubor opatření pro evropskou normalizaci na podporu politiky a právních předpisů EU. Při hodnocení nařízení se posoudí, zda je i po více než deseti letech od svého použitelnosti stále vhodné pro daný účel. Hodnocení bude rovněž podkladem pro úvahy o celkové budoucí správě evropského systému normalizace. V souladu s klíčovými prvky normalizační strategie Komise z roku 2022 </w:t>
            </w:r>
            <w:hyperlink r:id="rId9"/>
            <w:r w:rsidRPr="00E91A42">
              <w:rPr>
                <w:rFonts w:ascii="Arial" w:hAnsi="Arial" w:cs="Arial"/>
                <w:sz w:val="20"/>
              </w:rPr>
              <w:t xml:space="preserve"> je cílem hodnocení posoudit schopnost systému EU včas a s celosvětovým významem vydávat normy na podporu ekologického, digitálního a odolného jednotného trhu EU. Na základě zkušeností s prováděním se hodnocení bude týkat aspektů, jako je účast malých a středních podniků a společenských zúčastněných stran na normalizaci, procesní pravidla upravující žádosti o normalizaci a rozsah, v jakém je finanční podpora EU pro evropskou normalizaci odůvodněná, či nikoli, jakož i související potenciál zjednodušení a snížení zátěže, a to i pokud jde o požadavky na podávání zpráv. Očekává se, že hodnocení posoudí náklady na stanovení norem, a to i v různých fázích procesu a pro různé zúčastněné strany, a možnost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zefektivnění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povinností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podávání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zpráv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042202B7" w14:textId="77777777" w:rsidTr="00E15745">
        <w:trPr>
          <w:trHeight w:val="9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E8E4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64F2" w14:textId="77777777" w:rsidR="00662BB3" w:rsidRPr="00E91A42" w:rsidRDefault="00662BB3" w:rsidP="00E15745">
            <w:pPr>
              <w:pStyle w:val="TableParagraph"/>
              <w:spacing w:before="120"/>
              <w:ind w:left="111" w:right="94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Průběžné hodnocení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Nástroje pro propojení Evropy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na období 2021–2027 (nařízení 2021/1153)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63E4" w14:textId="77777777" w:rsidR="00662BB3" w:rsidRPr="00E91A42" w:rsidRDefault="00662BB3" w:rsidP="00E15745">
            <w:pPr>
              <w:pStyle w:val="TableParagraph"/>
              <w:spacing w:before="120"/>
              <w:ind w:left="111" w:right="102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Průběžné hodnocení posuzuje pokrok při dosahování cílů programu, účinnost využívání zdrojů a jeho evropskou přidanou hodnotu. Bude se rovněž zabývat možnostmi snížení zátěže a racionalizací povinností týkajících se podávání zpráv v rámci Nástroje pro propojení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Evropy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na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období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2021–2027.</w:t>
            </w:r>
          </w:p>
        </w:tc>
      </w:tr>
      <w:tr w:rsidR="00662BB3" w:rsidRPr="00E91A42" w14:paraId="6E43A6FD" w14:textId="77777777" w:rsidTr="00E15745">
        <w:trPr>
          <w:trHeight w:val="11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D4A3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46DC" w14:textId="77777777" w:rsidR="00662BB3" w:rsidRPr="00E91A42" w:rsidRDefault="00662BB3" w:rsidP="00E15745">
            <w:pPr>
              <w:pStyle w:val="TableParagraph"/>
              <w:spacing w:before="120"/>
              <w:ind w:left="111" w:right="94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Průběžné hodnocení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Nástroje pro oživení a odolnost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(nařízení 2021/241)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3101" w14:textId="77777777" w:rsidR="00662BB3" w:rsidRPr="00E91A42" w:rsidRDefault="00662BB3" w:rsidP="00E15745">
            <w:pPr>
              <w:pStyle w:val="TableParagraph"/>
              <w:spacing w:before="120"/>
              <w:ind w:left="111" w:right="99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V hodnocení provádění Nástroje pro oživení a odolnost se posoudí, do jaké míry bylo dosaženo cílů, účinnost využívání zdrojů a evropskou přidanou hodnotu. Zváží rovněž trvalou relevanci všech cílů a opatření a potenciál pro snížení zátěže a racionalizaci povinností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týkajících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podávání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zpráv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5951B3F6" w14:textId="77777777" w:rsidTr="00E15745">
        <w:trPr>
          <w:trHeight w:val="11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1785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1A76" w14:textId="77777777" w:rsidR="00662BB3" w:rsidRPr="00E91A42" w:rsidRDefault="00662BB3" w:rsidP="00E15745">
            <w:pPr>
              <w:pStyle w:val="TableParagraph"/>
              <w:spacing w:before="120"/>
              <w:ind w:left="111" w:right="94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Závěrečné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hodnocení Evropského fondu pro regionální rozvoj</w:t>
            </w:r>
            <w:r w:rsidRPr="00E91A42">
              <w:rPr>
                <w:rFonts w:ascii="Arial" w:hAnsi="Arial" w:cs="Arial"/>
                <w:b/>
                <w:sz w:val="20"/>
              </w:rPr>
              <w:t xml:space="preserve"> na období 2014–2020 (nařízení č. 1301/2013)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1634" w14:textId="77777777" w:rsidR="00662BB3" w:rsidRPr="00E91A42" w:rsidRDefault="00662BB3" w:rsidP="00E15745">
            <w:pPr>
              <w:pStyle w:val="TableParagraph"/>
              <w:spacing w:before="120"/>
              <w:ind w:left="111" w:right="94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Závěrečné hodnocení Evropského fondu pro regionální rozvoj na období 2014–2020 posoudí, do jaké míry bylo dosaženo cílů, účinnost využívání zdrojů a evropskou přidanou hodnotu. Zváží rovněž trvalou relevanci všech cílů a opatření a potenciál pro snížení zátěže a racionalizaci povinností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týkajících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podávání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zpráv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  <w:tr w:rsidR="00662BB3" w:rsidRPr="00E91A42" w14:paraId="19213571" w14:textId="77777777" w:rsidTr="00E15745">
        <w:trPr>
          <w:trHeight w:val="11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D3F0" w14:textId="77777777" w:rsidR="00662BB3" w:rsidRPr="00E91A42" w:rsidRDefault="00662BB3" w:rsidP="00E15745">
            <w:pPr>
              <w:pStyle w:val="TableParagraph"/>
              <w:spacing w:before="120"/>
              <w:ind w:left="6" w:right="91"/>
              <w:jc w:val="center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pacing w:val="-5"/>
                <w:sz w:val="20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636B" w14:textId="77777777" w:rsidR="00662BB3" w:rsidRPr="00E91A42" w:rsidRDefault="00662BB3" w:rsidP="00E15745">
            <w:pPr>
              <w:pStyle w:val="TableParagraph"/>
              <w:spacing w:before="120"/>
              <w:ind w:left="111" w:right="92"/>
              <w:jc w:val="both"/>
              <w:rPr>
                <w:rFonts w:ascii="Arial" w:hAnsi="Arial" w:cs="Arial"/>
                <w:b/>
                <w:sz w:val="20"/>
              </w:rPr>
            </w:pPr>
            <w:r w:rsidRPr="00E91A42">
              <w:rPr>
                <w:rFonts w:ascii="Arial" w:hAnsi="Arial" w:cs="Arial"/>
                <w:b/>
                <w:sz w:val="20"/>
              </w:rPr>
              <w:t xml:space="preserve">Hodnocení směrnice o </w:t>
            </w:r>
            <w:r w:rsidRPr="00E91A42">
              <w:rPr>
                <w:rFonts w:ascii="Arial" w:hAnsi="Arial" w:cs="Arial"/>
                <w:b/>
                <w:sz w:val="20"/>
                <w:highlight w:val="green"/>
              </w:rPr>
              <w:t>správní spolupráci v oblasti dan</w:t>
            </w:r>
            <w:r w:rsidRPr="00E91A42">
              <w:rPr>
                <w:rFonts w:ascii="Arial" w:hAnsi="Arial" w:cs="Arial"/>
                <w:b/>
                <w:sz w:val="20"/>
              </w:rPr>
              <w:t>í (směrnice 2011/16/EU)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F9C8" w14:textId="77777777" w:rsidR="00662BB3" w:rsidRPr="00E91A42" w:rsidRDefault="00662BB3" w:rsidP="00E15745">
            <w:pPr>
              <w:pStyle w:val="TableParagraph"/>
              <w:spacing w:before="120"/>
              <w:ind w:left="111" w:right="98"/>
              <w:jc w:val="both"/>
              <w:rPr>
                <w:rFonts w:ascii="Arial" w:hAnsi="Arial" w:cs="Arial"/>
                <w:sz w:val="20"/>
              </w:rPr>
            </w:pPr>
            <w:r w:rsidRPr="00E91A42">
              <w:rPr>
                <w:rFonts w:ascii="Arial" w:hAnsi="Arial" w:cs="Arial"/>
                <w:sz w:val="20"/>
              </w:rPr>
              <w:t xml:space="preserve">Směrnice je klíčovým nástrojem v boji proti daňovým podvodům, únikům a vyhýbání se daňovým povinnostem. Toto hodnocení posoudí, zda je směrnice vhodná pro daný účel, včetně toho, zda je účinná a účelná. Zaměří se zejména na možnou racionalizaci povinností týkajících se podávání zpráv vyplývajících ze směrnice, aby mohla poskytnout informace pro případné návrhy na snížení zátěže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spojené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s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podáváním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1A42">
              <w:rPr>
                <w:rFonts w:ascii="Arial" w:hAnsi="Arial" w:cs="Arial"/>
                <w:sz w:val="20"/>
              </w:rPr>
              <w:t>zpráv</w:t>
            </w:r>
            <w:proofErr w:type="spellEnd"/>
            <w:r w:rsidRPr="00E91A42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2E83947" w14:textId="0D188D37" w:rsidR="00065B82" w:rsidRPr="00E91A42" w:rsidRDefault="00065B82">
      <w:pPr>
        <w:rPr>
          <w:rFonts w:ascii="Arial" w:hAnsi="Arial" w:cs="Arial"/>
        </w:rPr>
      </w:pPr>
    </w:p>
    <w:sectPr w:rsidR="00065B82" w:rsidRPr="00E91A42" w:rsidSect="00662B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DB7"/>
    <w:multiLevelType w:val="hybridMultilevel"/>
    <w:tmpl w:val="61103208"/>
    <w:lvl w:ilvl="0" w:tplc="CBD4FF9E">
      <w:numFmt w:val="bullet"/>
      <w:lvlText w:val="o"/>
      <w:lvlJc w:val="left"/>
      <w:pPr>
        <w:ind w:left="394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A5E8220">
      <w:numFmt w:val="bullet"/>
      <w:lvlText w:val="•"/>
      <w:lvlJc w:val="left"/>
      <w:pPr>
        <w:ind w:left="841" w:hanging="284"/>
      </w:pPr>
      <w:rPr>
        <w:rFonts w:hint="default"/>
        <w:lang w:val="en-US" w:eastAsia="en-US" w:bidi="ar-SA"/>
      </w:rPr>
    </w:lvl>
    <w:lvl w:ilvl="2" w:tplc="AF249904">
      <w:numFmt w:val="bullet"/>
      <w:lvlText w:val="•"/>
      <w:lvlJc w:val="left"/>
      <w:pPr>
        <w:ind w:left="1282" w:hanging="284"/>
      </w:pPr>
      <w:rPr>
        <w:rFonts w:hint="default"/>
        <w:lang w:val="en-US" w:eastAsia="en-US" w:bidi="ar-SA"/>
      </w:rPr>
    </w:lvl>
    <w:lvl w:ilvl="3" w:tplc="B7747DA4">
      <w:numFmt w:val="bullet"/>
      <w:lvlText w:val="•"/>
      <w:lvlJc w:val="left"/>
      <w:pPr>
        <w:ind w:left="1723" w:hanging="284"/>
      </w:pPr>
      <w:rPr>
        <w:rFonts w:hint="default"/>
        <w:lang w:val="en-US" w:eastAsia="en-US" w:bidi="ar-SA"/>
      </w:rPr>
    </w:lvl>
    <w:lvl w:ilvl="4" w:tplc="A09C11A8">
      <w:numFmt w:val="bullet"/>
      <w:lvlText w:val="•"/>
      <w:lvlJc w:val="left"/>
      <w:pPr>
        <w:ind w:left="2164" w:hanging="284"/>
      </w:pPr>
      <w:rPr>
        <w:rFonts w:hint="default"/>
        <w:lang w:val="en-US" w:eastAsia="en-US" w:bidi="ar-SA"/>
      </w:rPr>
    </w:lvl>
    <w:lvl w:ilvl="5" w:tplc="BD42209C">
      <w:numFmt w:val="bullet"/>
      <w:lvlText w:val="•"/>
      <w:lvlJc w:val="left"/>
      <w:pPr>
        <w:ind w:left="2606" w:hanging="284"/>
      </w:pPr>
      <w:rPr>
        <w:rFonts w:hint="default"/>
        <w:lang w:val="en-US" w:eastAsia="en-US" w:bidi="ar-SA"/>
      </w:rPr>
    </w:lvl>
    <w:lvl w:ilvl="6" w:tplc="5636E510">
      <w:numFmt w:val="bullet"/>
      <w:lvlText w:val="•"/>
      <w:lvlJc w:val="left"/>
      <w:pPr>
        <w:ind w:left="3047" w:hanging="284"/>
      </w:pPr>
      <w:rPr>
        <w:rFonts w:hint="default"/>
        <w:lang w:val="en-US" w:eastAsia="en-US" w:bidi="ar-SA"/>
      </w:rPr>
    </w:lvl>
    <w:lvl w:ilvl="7" w:tplc="28CED1BC">
      <w:numFmt w:val="bullet"/>
      <w:lvlText w:val="•"/>
      <w:lvlJc w:val="left"/>
      <w:pPr>
        <w:ind w:left="3488" w:hanging="284"/>
      </w:pPr>
      <w:rPr>
        <w:rFonts w:hint="default"/>
        <w:lang w:val="en-US" w:eastAsia="en-US" w:bidi="ar-SA"/>
      </w:rPr>
    </w:lvl>
    <w:lvl w:ilvl="8" w:tplc="9D88E016">
      <w:numFmt w:val="bullet"/>
      <w:lvlText w:val="•"/>
      <w:lvlJc w:val="left"/>
      <w:pPr>
        <w:ind w:left="3929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3D62B53"/>
    <w:multiLevelType w:val="hybridMultilevel"/>
    <w:tmpl w:val="B27A601C"/>
    <w:lvl w:ilvl="0" w:tplc="66FEBFF0">
      <w:numFmt w:val="bullet"/>
      <w:lvlText w:val="o"/>
      <w:lvlJc w:val="left"/>
      <w:pPr>
        <w:ind w:left="394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31AFBBE">
      <w:numFmt w:val="bullet"/>
      <w:lvlText w:val="•"/>
      <w:lvlJc w:val="left"/>
      <w:pPr>
        <w:ind w:left="841" w:hanging="284"/>
      </w:pPr>
      <w:rPr>
        <w:rFonts w:hint="default"/>
        <w:lang w:val="en-US" w:eastAsia="en-US" w:bidi="ar-SA"/>
      </w:rPr>
    </w:lvl>
    <w:lvl w:ilvl="2" w:tplc="736A0DD6">
      <w:numFmt w:val="bullet"/>
      <w:lvlText w:val="•"/>
      <w:lvlJc w:val="left"/>
      <w:pPr>
        <w:ind w:left="1282" w:hanging="284"/>
      </w:pPr>
      <w:rPr>
        <w:rFonts w:hint="default"/>
        <w:lang w:val="en-US" w:eastAsia="en-US" w:bidi="ar-SA"/>
      </w:rPr>
    </w:lvl>
    <w:lvl w:ilvl="3" w:tplc="2968D62A">
      <w:numFmt w:val="bullet"/>
      <w:lvlText w:val="•"/>
      <w:lvlJc w:val="left"/>
      <w:pPr>
        <w:ind w:left="1723" w:hanging="284"/>
      </w:pPr>
      <w:rPr>
        <w:rFonts w:hint="default"/>
        <w:lang w:val="en-US" w:eastAsia="en-US" w:bidi="ar-SA"/>
      </w:rPr>
    </w:lvl>
    <w:lvl w:ilvl="4" w:tplc="B4D833AA">
      <w:numFmt w:val="bullet"/>
      <w:lvlText w:val="•"/>
      <w:lvlJc w:val="left"/>
      <w:pPr>
        <w:ind w:left="2164" w:hanging="284"/>
      </w:pPr>
      <w:rPr>
        <w:rFonts w:hint="default"/>
        <w:lang w:val="en-US" w:eastAsia="en-US" w:bidi="ar-SA"/>
      </w:rPr>
    </w:lvl>
    <w:lvl w:ilvl="5" w:tplc="68063700">
      <w:numFmt w:val="bullet"/>
      <w:lvlText w:val="•"/>
      <w:lvlJc w:val="left"/>
      <w:pPr>
        <w:ind w:left="2606" w:hanging="284"/>
      </w:pPr>
      <w:rPr>
        <w:rFonts w:hint="default"/>
        <w:lang w:val="en-US" w:eastAsia="en-US" w:bidi="ar-SA"/>
      </w:rPr>
    </w:lvl>
    <w:lvl w:ilvl="6" w:tplc="65EA5EA0">
      <w:numFmt w:val="bullet"/>
      <w:lvlText w:val="•"/>
      <w:lvlJc w:val="left"/>
      <w:pPr>
        <w:ind w:left="3047" w:hanging="284"/>
      </w:pPr>
      <w:rPr>
        <w:rFonts w:hint="default"/>
        <w:lang w:val="en-US" w:eastAsia="en-US" w:bidi="ar-SA"/>
      </w:rPr>
    </w:lvl>
    <w:lvl w:ilvl="7" w:tplc="9F5C0BF2">
      <w:numFmt w:val="bullet"/>
      <w:lvlText w:val="•"/>
      <w:lvlJc w:val="left"/>
      <w:pPr>
        <w:ind w:left="3488" w:hanging="284"/>
      </w:pPr>
      <w:rPr>
        <w:rFonts w:hint="default"/>
        <w:lang w:val="en-US" w:eastAsia="en-US" w:bidi="ar-SA"/>
      </w:rPr>
    </w:lvl>
    <w:lvl w:ilvl="8" w:tplc="C91A7952">
      <w:numFmt w:val="bullet"/>
      <w:lvlText w:val="•"/>
      <w:lvlJc w:val="left"/>
      <w:pPr>
        <w:ind w:left="3929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150D588E"/>
    <w:multiLevelType w:val="hybridMultilevel"/>
    <w:tmpl w:val="02DE513E"/>
    <w:lvl w:ilvl="0" w:tplc="280844F0">
      <w:numFmt w:val="bullet"/>
      <w:lvlText w:val="o"/>
      <w:lvlJc w:val="left"/>
      <w:pPr>
        <w:ind w:left="394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C6C4D2E">
      <w:numFmt w:val="bullet"/>
      <w:lvlText w:val="•"/>
      <w:lvlJc w:val="left"/>
      <w:pPr>
        <w:ind w:left="841" w:hanging="284"/>
      </w:pPr>
      <w:rPr>
        <w:rFonts w:hint="default"/>
        <w:lang w:val="en-US" w:eastAsia="en-US" w:bidi="ar-SA"/>
      </w:rPr>
    </w:lvl>
    <w:lvl w:ilvl="2" w:tplc="686431D6">
      <w:numFmt w:val="bullet"/>
      <w:lvlText w:val="•"/>
      <w:lvlJc w:val="left"/>
      <w:pPr>
        <w:ind w:left="1282" w:hanging="284"/>
      </w:pPr>
      <w:rPr>
        <w:rFonts w:hint="default"/>
        <w:lang w:val="en-US" w:eastAsia="en-US" w:bidi="ar-SA"/>
      </w:rPr>
    </w:lvl>
    <w:lvl w:ilvl="3" w:tplc="2758BC3E">
      <w:numFmt w:val="bullet"/>
      <w:lvlText w:val="•"/>
      <w:lvlJc w:val="left"/>
      <w:pPr>
        <w:ind w:left="1723" w:hanging="284"/>
      </w:pPr>
      <w:rPr>
        <w:rFonts w:hint="default"/>
        <w:lang w:val="en-US" w:eastAsia="en-US" w:bidi="ar-SA"/>
      </w:rPr>
    </w:lvl>
    <w:lvl w:ilvl="4" w:tplc="51B4CDE6">
      <w:numFmt w:val="bullet"/>
      <w:lvlText w:val="•"/>
      <w:lvlJc w:val="left"/>
      <w:pPr>
        <w:ind w:left="2164" w:hanging="284"/>
      </w:pPr>
      <w:rPr>
        <w:rFonts w:hint="default"/>
        <w:lang w:val="en-US" w:eastAsia="en-US" w:bidi="ar-SA"/>
      </w:rPr>
    </w:lvl>
    <w:lvl w:ilvl="5" w:tplc="6B7CD020">
      <w:numFmt w:val="bullet"/>
      <w:lvlText w:val="•"/>
      <w:lvlJc w:val="left"/>
      <w:pPr>
        <w:ind w:left="2606" w:hanging="284"/>
      </w:pPr>
      <w:rPr>
        <w:rFonts w:hint="default"/>
        <w:lang w:val="en-US" w:eastAsia="en-US" w:bidi="ar-SA"/>
      </w:rPr>
    </w:lvl>
    <w:lvl w:ilvl="6" w:tplc="04045EAE">
      <w:numFmt w:val="bullet"/>
      <w:lvlText w:val="•"/>
      <w:lvlJc w:val="left"/>
      <w:pPr>
        <w:ind w:left="3047" w:hanging="284"/>
      </w:pPr>
      <w:rPr>
        <w:rFonts w:hint="default"/>
        <w:lang w:val="en-US" w:eastAsia="en-US" w:bidi="ar-SA"/>
      </w:rPr>
    </w:lvl>
    <w:lvl w:ilvl="7" w:tplc="B5AAE3E2">
      <w:numFmt w:val="bullet"/>
      <w:lvlText w:val="•"/>
      <w:lvlJc w:val="left"/>
      <w:pPr>
        <w:ind w:left="3488" w:hanging="284"/>
      </w:pPr>
      <w:rPr>
        <w:rFonts w:hint="default"/>
        <w:lang w:val="en-US" w:eastAsia="en-US" w:bidi="ar-SA"/>
      </w:rPr>
    </w:lvl>
    <w:lvl w:ilvl="8" w:tplc="138E754C">
      <w:numFmt w:val="bullet"/>
      <w:lvlText w:val="•"/>
      <w:lvlJc w:val="left"/>
      <w:pPr>
        <w:ind w:left="3929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FCE534F"/>
    <w:multiLevelType w:val="hybridMultilevel"/>
    <w:tmpl w:val="A6268496"/>
    <w:lvl w:ilvl="0" w:tplc="E83CF60C">
      <w:numFmt w:val="bullet"/>
      <w:lvlText w:val=""/>
      <w:lvlJc w:val="left"/>
      <w:pPr>
        <w:ind w:left="336" w:hanging="2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C46D1D0">
      <w:numFmt w:val="bullet"/>
      <w:lvlText w:val="•"/>
      <w:lvlJc w:val="left"/>
      <w:pPr>
        <w:ind w:left="1240" w:hanging="228"/>
      </w:pPr>
      <w:rPr>
        <w:rFonts w:hint="default"/>
        <w:lang w:val="en-US" w:eastAsia="en-US" w:bidi="ar-SA"/>
      </w:rPr>
    </w:lvl>
    <w:lvl w:ilvl="2" w:tplc="ADCAB0B4">
      <w:numFmt w:val="bullet"/>
      <w:lvlText w:val="•"/>
      <w:lvlJc w:val="left"/>
      <w:pPr>
        <w:ind w:left="2141" w:hanging="228"/>
      </w:pPr>
      <w:rPr>
        <w:rFonts w:hint="default"/>
        <w:lang w:val="en-US" w:eastAsia="en-US" w:bidi="ar-SA"/>
      </w:rPr>
    </w:lvl>
    <w:lvl w:ilvl="3" w:tplc="7186A404">
      <w:numFmt w:val="bullet"/>
      <w:lvlText w:val="•"/>
      <w:lvlJc w:val="left"/>
      <w:pPr>
        <w:ind w:left="3041" w:hanging="228"/>
      </w:pPr>
      <w:rPr>
        <w:rFonts w:hint="default"/>
        <w:lang w:val="en-US" w:eastAsia="en-US" w:bidi="ar-SA"/>
      </w:rPr>
    </w:lvl>
    <w:lvl w:ilvl="4" w:tplc="AC34E3E2">
      <w:numFmt w:val="bullet"/>
      <w:lvlText w:val="•"/>
      <w:lvlJc w:val="left"/>
      <w:pPr>
        <w:ind w:left="3942" w:hanging="228"/>
      </w:pPr>
      <w:rPr>
        <w:rFonts w:hint="default"/>
        <w:lang w:val="en-US" w:eastAsia="en-US" w:bidi="ar-SA"/>
      </w:rPr>
    </w:lvl>
    <w:lvl w:ilvl="5" w:tplc="D948183C">
      <w:numFmt w:val="bullet"/>
      <w:lvlText w:val="•"/>
      <w:lvlJc w:val="left"/>
      <w:pPr>
        <w:ind w:left="4843" w:hanging="228"/>
      </w:pPr>
      <w:rPr>
        <w:rFonts w:hint="default"/>
        <w:lang w:val="en-US" w:eastAsia="en-US" w:bidi="ar-SA"/>
      </w:rPr>
    </w:lvl>
    <w:lvl w:ilvl="6" w:tplc="39527AFA">
      <w:numFmt w:val="bullet"/>
      <w:lvlText w:val="•"/>
      <w:lvlJc w:val="left"/>
      <w:pPr>
        <w:ind w:left="5743" w:hanging="228"/>
      </w:pPr>
      <w:rPr>
        <w:rFonts w:hint="default"/>
        <w:lang w:val="en-US" w:eastAsia="en-US" w:bidi="ar-SA"/>
      </w:rPr>
    </w:lvl>
    <w:lvl w:ilvl="7" w:tplc="45B25306">
      <w:numFmt w:val="bullet"/>
      <w:lvlText w:val="•"/>
      <w:lvlJc w:val="left"/>
      <w:pPr>
        <w:ind w:left="6644" w:hanging="228"/>
      </w:pPr>
      <w:rPr>
        <w:rFonts w:hint="default"/>
        <w:lang w:val="en-US" w:eastAsia="en-US" w:bidi="ar-SA"/>
      </w:rPr>
    </w:lvl>
    <w:lvl w:ilvl="8" w:tplc="8A80C5E0">
      <w:numFmt w:val="bullet"/>
      <w:lvlText w:val="•"/>
      <w:lvlJc w:val="left"/>
      <w:pPr>
        <w:ind w:left="7544" w:hanging="228"/>
      </w:pPr>
      <w:rPr>
        <w:rFonts w:hint="default"/>
        <w:lang w:val="en-US" w:eastAsia="en-US" w:bidi="ar-SA"/>
      </w:rPr>
    </w:lvl>
  </w:abstractNum>
  <w:abstractNum w:abstractNumId="4" w15:restartNumberingAfterBreak="0">
    <w:nsid w:val="27EF2669"/>
    <w:multiLevelType w:val="hybridMultilevel"/>
    <w:tmpl w:val="7D34C500"/>
    <w:lvl w:ilvl="0" w:tplc="2C2294EA">
      <w:numFmt w:val="bullet"/>
      <w:lvlText w:val=""/>
      <w:lvlJc w:val="left"/>
      <w:pPr>
        <w:ind w:left="336" w:hanging="2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3FC6D30">
      <w:numFmt w:val="bullet"/>
      <w:lvlText w:val="•"/>
      <w:lvlJc w:val="left"/>
      <w:pPr>
        <w:ind w:left="1240" w:hanging="228"/>
      </w:pPr>
      <w:rPr>
        <w:rFonts w:hint="default"/>
        <w:lang w:val="en-US" w:eastAsia="en-US" w:bidi="ar-SA"/>
      </w:rPr>
    </w:lvl>
    <w:lvl w:ilvl="2" w:tplc="41BE65D6">
      <w:numFmt w:val="bullet"/>
      <w:lvlText w:val="•"/>
      <w:lvlJc w:val="left"/>
      <w:pPr>
        <w:ind w:left="2141" w:hanging="228"/>
      </w:pPr>
      <w:rPr>
        <w:rFonts w:hint="default"/>
        <w:lang w:val="en-US" w:eastAsia="en-US" w:bidi="ar-SA"/>
      </w:rPr>
    </w:lvl>
    <w:lvl w:ilvl="3" w:tplc="329292BC">
      <w:numFmt w:val="bullet"/>
      <w:lvlText w:val="•"/>
      <w:lvlJc w:val="left"/>
      <w:pPr>
        <w:ind w:left="3041" w:hanging="228"/>
      </w:pPr>
      <w:rPr>
        <w:rFonts w:hint="default"/>
        <w:lang w:val="en-US" w:eastAsia="en-US" w:bidi="ar-SA"/>
      </w:rPr>
    </w:lvl>
    <w:lvl w:ilvl="4" w:tplc="BADE70AC">
      <w:numFmt w:val="bullet"/>
      <w:lvlText w:val="•"/>
      <w:lvlJc w:val="left"/>
      <w:pPr>
        <w:ind w:left="3942" w:hanging="228"/>
      </w:pPr>
      <w:rPr>
        <w:rFonts w:hint="default"/>
        <w:lang w:val="en-US" w:eastAsia="en-US" w:bidi="ar-SA"/>
      </w:rPr>
    </w:lvl>
    <w:lvl w:ilvl="5" w:tplc="ED428D70">
      <w:numFmt w:val="bullet"/>
      <w:lvlText w:val="•"/>
      <w:lvlJc w:val="left"/>
      <w:pPr>
        <w:ind w:left="4843" w:hanging="228"/>
      </w:pPr>
      <w:rPr>
        <w:rFonts w:hint="default"/>
        <w:lang w:val="en-US" w:eastAsia="en-US" w:bidi="ar-SA"/>
      </w:rPr>
    </w:lvl>
    <w:lvl w:ilvl="6" w:tplc="7E0C3574">
      <w:numFmt w:val="bullet"/>
      <w:lvlText w:val="•"/>
      <w:lvlJc w:val="left"/>
      <w:pPr>
        <w:ind w:left="5743" w:hanging="228"/>
      </w:pPr>
      <w:rPr>
        <w:rFonts w:hint="default"/>
        <w:lang w:val="en-US" w:eastAsia="en-US" w:bidi="ar-SA"/>
      </w:rPr>
    </w:lvl>
    <w:lvl w:ilvl="7" w:tplc="28A6DEE8">
      <w:numFmt w:val="bullet"/>
      <w:lvlText w:val="•"/>
      <w:lvlJc w:val="left"/>
      <w:pPr>
        <w:ind w:left="6644" w:hanging="228"/>
      </w:pPr>
      <w:rPr>
        <w:rFonts w:hint="default"/>
        <w:lang w:val="en-US" w:eastAsia="en-US" w:bidi="ar-SA"/>
      </w:rPr>
    </w:lvl>
    <w:lvl w:ilvl="8" w:tplc="1E9CCFB2">
      <w:numFmt w:val="bullet"/>
      <w:lvlText w:val="•"/>
      <w:lvlJc w:val="left"/>
      <w:pPr>
        <w:ind w:left="7544" w:hanging="228"/>
      </w:pPr>
      <w:rPr>
        <w:rFonts w:hint="default"/>
        <w:lang w:val="en-US" w:eastAsia="en-US" w:bidi="ar-SA"/>
      </w:rPr>
    </w:lvl>
  </w:abstractNum>
  <w:abstractNum w:abstractNumId="5" w15:restartNumberingAfterBreak="0">
    <w:nsid w:val="2E547D93"/>
    <w:multiLevelType w:val="hybridMultilevel"/>
    <w:tmpl w:val="91DC11D2"/>
    <w:lvl w:ilvl="0" w:tplc="21AC2B80">
      <w:numFmt w:val="bullet"/>
      <w:lvlText w:val=""/>
      <w:lvlJc w:val="left"/>
      <w:pPr>
        <w:ind w:left="336" w:hanging="2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1D4B158">
      <w:numFmt w:val="bullet"/>
      <w:lvlText w:val="•"/>
      <w:lvlJc w:val="left"/>
      <w:pPr>
        <w:ind w:left="1240" w:hanging="228"/>
      </w:pPr>
      <w:rPr>
        <w:rFonts w:hint="default"/>
        <w:lang w:val="en-US" w:eastAsia="en-US" w:bidi="ar-SA"/>
      </w:rPr>
    </w:lvl>
    <w:lvl w:ilvl="2" w:tplc="2F2AD436">
      <w:numFmt w:val="bullet"/>
      <w:lvlText w:val="•"/>
      <w:lvlJc w:val="left"/>
      <w:pPr>
        <w:ind w:left="2141" w:hanging="228"/>
      </w:pPr>
      <w:rPr>
        <w:rFonts w:hint="default"/>
        <w:lang w:val="en-US" w:eastAsia="en-US" w:bidi="ar-SA"/>
      </w:rPr>
    </w:lvl>
    <w:lvl w:ilvl="3" w:tplc="B8A873B4">
      <w:numFmt w:val="bullet"/>
      <w:lvlText w:val="•"/>
      <w:lvlJc w:val="left"/>
      <w:pPr>
        <w:ind w:left="3041" w:hanging="228"/>
      </w:pPr>
      <w:rPr>
        <w:rFonts w:hint="default"/>
        <w:lang w:val="en-US" w:eastAsia="en-US" w:bidi="ar-SA"/>
      </w:rPr>
    </w:lvl>
    <w:lvl w:ilvl="4" w:tplc="567437D4">
      <w:numFmt w:val="bullet"/>
      <w:lvlText w:val="•"/>
      <w:lvlJc w:val="left"/>
      <w:pPr>
        <w:ind w:left="3942" w:hanging="228"/>
      </w:pPr>
      <w:rPr>
        <w:rFonts w:hint="default"/>
        <w:lang w:val="en-US" w:eastAsia="en-US" w:bidi="ar-SA"/>
      </w:rPr>
    </w:lvl>
    <w:lvl w:ilvl="5" w:tplc="1432472E">
      <w:numFmt w:val="bullet"/>
      <w:lvlText w:val="•"/>
      <w:lvlJc w:val="left"/>
      <w:pPr>
        <w:ind w:left="4843" w:hanging="228"/>
      </w:pPr>
      <w:rPr>
        <w:rFonts w:hint="default"/>
        <w:lang w:val="en-US" w:eastAsia="en-US" w:bidi="ar-SA"/>
      </w:rPr>
    </w:lvl>
    <w:lvl w:ilvl="6" w:tplc="295E82E8">
      <w:numFmt w:val="bullet"/>
      <w:lvlText w:val="•"/>
      <w:lvlJc w:val="left"/>
      <w:pPr>
        <w:ind w:left="5743" w:hanging="228"/>
      </w:pPr>
      <w:rPr>
        <w:rFonts w:hint="default"/>
        <w:lang w:val="en-US" w:eastAsia="en-US" w:bidi="ar-SA"/>
      </w:rPr>
    </w:lvl>
    <w:lvl w:ilvl="7" w:tplc="7EC0020E">
      <w:numFmt w:val="bullet"/>
      <w:lvlText w:val="•"/>
      <w:lvlJc w:val="left"/>
      <w:pPr>
        <w:ind w:left="6644" w:hanging="228"/>
      </w:pPr>
      <w:rPr>
        <w:rFonts w:hint="default"/>
        <w:lang w:val="en-US" w:eastAsia="en-US" w:bidi="ar-SA"/>
      </w:rPr>
    </w:lvl>
    <w:lvl w:ilvl="8" w:tplc="0C94C43E">
      <w:numFmt w:val="bullet"/>
      <w:lvlText w:val="•"/>
      <w:lvlJc w:val="left"/>
      <w:pPr>
        <w:ind w:left="7544" w:hanging="228"/>
      </w:pPr>
      <w:rPr>
        <w:rFonts w:hint="default"/>
        <w:lang w:val="en-US" w:eastAsia="en-US" w:bidi="ar-SA"/>
      </w:rPr>
    </w:lvl>
  </w:abstractNum>
  <w:abstractNum w:abstractNumId="6" w15:restartNumberingAfterBreak="0">
    <w:nsid w:val="2F3116E0"/>
    <w:multiLevelType w:val="hybridMultilevel"/>
    <w:tmpl w:val="77FA1C7A"/>
    <w:lvl w:ilvl="0" w:tplc="E2789EA8">
      <w:numFmt w:val="bullet"/>
      <w:lvlText w:val="o"/>
      <w:lvlJc w:val="left"/>
      <w:pPr>
        <w:ind w:left="394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26EE8AE">
      <w:numFmt w:val="bullet"/>
      <w:lvlText w:val="•"/>
      <w:lvlJc w:val="left"/>
      <w:pPr>
        <w:ind w:left="841" w:hanging="284"/>
      </w:pPr>
      <w:rPr>
        <w:rFonts w:hint="default"/>
        <w:lang w:val="en-US" w:eastAsia="en-US" w:bidi="ar-SA"/>
      </w:rPr>
    </w:lvl>
    <w:lvl w:ilvl="2" w:tplc="ED0EAF40">
      <w:numFmt w:val="bullet"/>
      <w:lvlText w:val="•"/>
      <w:lvlJc w:val="left"/>
      <w:pPr>
        <w:ind w:left="1282" w:hanging="284"/>
      </w:pPr>
      <w:rPr>
        <w:rFonts w:hint="default"/>
        <w:lang w:val="en-US" w:eastAsia="en-US" w:bidi="ar-SA"/>
      </w:rPr>
    </w:lvl>
    <w:lvl w:ilvl="3" w:tplc="B8B0B8A4">
      <w:numFmt w:val="bullet"/>
      <w:lvlText w:val="•"/>
      <w:lvlJc w:val="left"/>
      <w:pPr>
        <w:ind w:left="1723" w:hanging="284"/>
      </w:pPr>
      <w:rPr>
        <w:rFonts w:hint="default"/>
        <w:lang w:val="en-US" w:eastAsia="en-US" w:bidi="ar-SA"/>
      </w:rPr>
    </w:lvl>
    <w:lvl w:ilvl="4" w:tplc="1CDA2EE0">
      <w:numFmt w:val="bullet"/>
      <w:lvlText w:val="•"/>
      <w:lvlJc w:val="left"/>
      <w:pPr>
        <w:ind w:left="2164" w:hanging="284"/>
      </w:pPr>
      <w:rPr>
        <w:rFonts w:hint="default"/>
        <w:lang w:val="en-US" w:eastAsia="en-US" w:bidi="ar-SA"/>
      </w:rPr>
    </w:lvl>
    <w:lvl w:ilvl="5" w:tplc="CF324CA8">
      <w:numFmt w:val="bullet"/>
      <w:lvlText w:val="•"/>
      <w:lvlJc w:val="left"/>
      <w:pPr>
        <w:ind w:left="2606" w:hanging="284"/>
      </w:pPr>
      <w:rPr>
        <w:rFonts w:hint="default"/>
        <w:lang w:val="en-US" w:eastAsia="en-US" w:bidi="ar-SA"/>
      </w:rPr>
    </w:lvl>
    <w:lvl w:ilvl="6" w:tplc="1F6E1ECE">
      <w:numFmt w:val="bullet"/>
      <w:lvlText w:val="•"/>
      <w:lvlJc w:val="left"/>
      <w:pPr>
        <w:ind w:left="3047" w:hanging="284"/>
      </w:pPr>
      <w:rPr>
        <w:rFonts w:hint="default"/>
        <w:lang w:val="en-US" w:eastAsia="en-US" w:bidi="ar-SA"/>
      </w:rPr>
    </w:lvl>
    <w:lvl w:ilvl="7" w:tplc="0726AA26">
      <w:numFmt w:val="bullet"/>
      <w:lvlText w:val="•"/>
      <w:lvlJc w:val="left"/>
      <w:pPr>
        <w:ind w:left="3488" w:hanging="284"/>
      </w:pPr>
      <w:rPr>
        <w:rFonts w:hint="default"/>
        <w:lang w:val="en-US" w:eastAsia="en-US" w:bidi="ar-SA"/>
      </w:rPr>
    </w:lvl>
    <w:lvl w:ilvl="8" w:tplc="0152F0B8">
      <w:numFmt w:val="bullet"/>
      <w:lvlText w:val="•"/>
      <w:lvlJc w:val="left"/>
      <w:pPr>
        <w:ind w:left="3929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2FCF42DB"/>
    <w:multiLevelType w:val="hybridMultilevel"/>
    <w:tmpl w:val="02721D9E"/>
    <w:lvl w:ilvl="0" w:tplc="A53A5612">
      <w:numFmt w:val="bullet"/>
      <w:lvlText w:val="o"/>
      <w:lvlJc w:val="left"/>
      <w:pPr>
        <w:ind w:left="394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340BD96">
      <w:numFmt w:val="bullet"/>
      <w:lvlText w:val="•"/>
      <w:lvlJc w:val="left"/>
      <w:pPr>
        <w:ind w:left="841" w:hanging="284"/>
      </w:pPr>
      <w:rPr>
        <w:rFonts w:hint="default"/>
        <w:lang w:val="en-US" w:eastAsia="en-US" w:bidi="ar-SA"/>
      </w:rPr>
    </w:lvl>
    <w:lvl w:ilvl="2" w:tplc="C8D6541E">
      <w:numFmt w:val="bullet"/>
      <w:lvlText w:val="•"/>
      <w:lvlJc w:val="left"/>
      <w:pPr>
        <w:ind w:left="1282" w:hanging="284"/>
      </w:pPr>
      <w:rPr>
        <w:rFonts w:hint="default"/>
        <w:lang w:val="en-US" w:eastAsia="en-US" w:bidi="ar-SA"/>
      </w:rPr>
    </w:lvl>
    <w:lvl w:ilvl="3" w:tplc="62061940">
      <w:numFmt w:val="bullet"/>
      <w:lvlText w:val="•"/>
      <w:lvlJc w:val="left"/>
      <w:pPr>
        <w:ind w:left="1723" w:hanging="284"/>
      </w:pPr>
      <w:rPr>
        <w:rFonts w:hint="default"/>
        <w:lang w:val="en-US" w:eastAsia="en-US" w:bidi="ar-SA"/>
      </w:rPr>
    </w:lvl>
    <w:lvl w:ilvl="4" w:tplc="0D524B1E">
      <w:numFmt w:val="bullet"/>
      <w:lvlText w:val="•"/>
      <w:lvlJc w:val="left"/>
      <w:pPr>
        <w:ind w:left="2164" w:hanging="284"/>
      </w:pPr>
      <w:rPr>
        <w:rFonts w:hint="default"/>
        <w:lang w:val="en-US" w:eastAsia="en-US" w:bidi="ar-SA"/>
      </w:rPr>
    </w:lvl>
    <w:lvl w:ilvl="5" w:tplc="0F209B82">
      <w:numFmt w:val="bullet"/>
      <w:lvlText w:val="•"/>
      <w:lvlJc w:val="left"/>
      <w:pPr>
        <w:ind w:left="2606" w:hanging="284"/>
      </w:pPr>
      <w:rPr>
        <w:rFonts w:hint="default"/>
        <w:lang w:val="en-US" w:eastAsia="en-US" w:bidi="ar-SA"/>
      </w:rPr>
    </w:lvl>
    <w:lvl w:ilvl="6" w:tplc="49F254A0">
      <w:numFmt w:val="bullet"/>
      <w:lvlText w:val="•"/>
      <w:lvlJc w:val="left"/>
      <w:pPr>
        <w:ind w:left="3047" w:hanging="284"/>
      </w:pPr>
      <w:rPr>
        <w:rFonts w:hint="default"/>
        <w:lang w:val="en-US" w:eastAsia="en-US" w:bidi="ar-SA"/>
      </w:rPr>
    </w:lvl>
    <w:lvl w:ilvl="7" w:tplc="14BE2B82">
      <w:numFmt w:val="bullet"/>
      <w:lvlText w:val="•"/>
      <w:lvlJc w:val="left"/>
      <w:pPr>
        <w:ind w:left="3488" w:hanging="284"/>
      </w:pPr>
      <w:rPr>
        <w:rFonts w:hint="default"/>
        <w:lang w:val="en-US" w:eastAsia="en-US" w:bidi="ar-SA"/>
      </w:rPr>
    </w:lvl>
    <w:lvl w:ilvl="8" w:tplc="8BA6F6D8">
      <w:numFmt w:val="bullet"/>
      <w:lvlText w:val="•"/>
      <w:lvlJc w:val="left"/>
      <w:pPr>
        <w:ind w:left="3929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41120395"/>
    <w:multiLevelType w:val="hybridMultilevel"/>
    <w:tmpl w:val="3C448880"/>
    <w:lvl w:ilvl="0" w:tplc="19D69138">
      <w:numFmt w:val="bullet"/>
      <w:lvlText w:val=""/>
      <w:lvlJc w:val="left"/>
      <w:pPr>
        <w:ind w:left="336" w:hanging="2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D5A3722">
      <w:numFmt w:val="bullet"/>
      <w:lvlText w:val="•"/>
      <w:lvlJc w:val="left"/>
      <w:pPr>
        <w:ind w:left="1240" w:hanging="228"/>
      </w:pPr>
      <w:rPr>
        <w:rFonts w:hint="default"/>
        <w:lang w:val="en-US" w:eastAsia="en-US" w:bidi="ar-SA"/>
      </w:rPr>
    </w:lvl>
    <w:lvl w:ilvl="2" w:tplc="6994F096">
      <w:numFmt w:val="bullet"/>
      <w:lvlText w:val="•"/>
      <w:lvlJc w:val="left"/>
      <w:pPr>
        <w:ind w:left="2141" w:hanging="228"/>
      </w:pPr>
      <w:rPr>
        <w:rFonts w:hint="default"/>
        <w:lang w:val="en-US" w:eastAsia="en-US" w:bidi="ar-SA"/>
      </w:rPr>
    </w:lvl>
    <w:lvl w:ilvl="3" w:tplc="49129010">
      <w:numFmt w:val="bullet"/>
      <w:lvlText w:val="•"/>
      <w:lvlJc w:val="left"/>
      <w:pPr>
        <w:ind w:left="3041" w:hanging="228"/>
      </w:pPr>
      <w:rPr>
        <w:rFonts w:hint="default"/>
        <w:lang w:val="en-US" w:eastAsia="en-US" w:bidi="ar-SA"/>
      </w:rPr>
    </w:lvl>
    <w:lvl w:ilvl="4" w:tplc="4A2CEA28">
      <w:numFmt w:val="bullet"/>
      <w:lvlText w:val="•"/>
      <w:lvlJc w:val="left"/>
      <w:pPr>
        <w:ind w:left="3942" w:hanging="228"/>
      </w:pPr>
      <w:rPr>
        <w:rFonts w:hint="default"/>
        <w:lang w:val="en-US" w:eastAsia="en-US" w:bidi="ar-SA"/>
      </w:rPr>
    </w:lvl>
    <w:lvl w:ilvl="5" w:tplc="C090D248">
      <w:numFmt w:val="bullet"/>
      <w:lvlText w:val="•"/>
      <w:lvlJc w:val="left"/>
      <w:pPr>
        <w:ind w:left="4843" w:hanging="228"/>
      </w:pPr>
      <w:rPr>
        <w:rFonts w:hint="default"/>
        <w:lang w:val="en-US" w:eastAsia="en-US" w:bidi="ar-SA"/>
      </w:rPr>
    </w:lvl>
    <w:lvl w:ilvl="6" w:tplc="9120022C">
      <w:numFmt w:val="bullet"/>
      <w:lvlText w:val="•"/>
      <w:lvlJc w:val="left"/>
      <w:pPr>
        <w:ind w:left="5743" w:hanging="228"/>
      </w:pPr>
      <w:rPr>
        <w:rFonts w:hint="default"/>
        <w:lang w:val="en-US" w:eastAsia="en-US" w:bidi="ar-SA"/>
      </w:rPr>
    </w:lvl>
    <w:lvl w:ilvl="7" w:tplc="A37C4676">
      <w:numFmt w:val="bullet"/>
      <w:lvlText w:val="•"/>
      <w:lvlJc w:val="left"/>
      <w:pPr>
        <w:ind w:left="6644" w:hanging="228"/>
      </w:pPr>
      <w:rPr>
        <w:rFonts w:hint="default"/>
        <w:lang w:val="en-US" w:eastAsia="en-US" w:bidi="ar-SA"/>
      </w:rPr>
    </w:lvl>
    <w:lvl w:ilvl="8" w:tplc="96E67A66">
      <w:numFmt w:val="bullet"/>
      <w:lvlText w:val="•"/>
      <w:lvlJc w:val="left"/>
      <w:pPr>
        <w:ind w:left="7544" w:hanging="228"/>
      </w:pPr>
      <w:rPr>
        <w:rFonts w:hint="default"/>
        <w:lang w:val="en-US" w:eastAsia="en-US" w:bidi="ar-SA"/>
      </w:rPr>
    </w:lvl>
  </w:abstractNum>
  <w:abstractNum w:abstractNumId="9" w15:restartNumberingAfterBreak="0">
    <w:nsid w:val="4AF303DA"/>
    <w:multiLevelType w:val="hybridMultilevel"/>
    <w:tmpl w:val="C5EA1C3C"/>
    <w:lvl w:ilvl="0" w:tplc="B07404A4">
      <w:numFmt w:val="bullet"/>
      <w:lvlText w:val="o"/>
      <w:lvlJc w:val="left"/>
      <w:pPr>
        <w:ind w:left="468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D285352">
      <w:numFmt w:val="bullet"/>
      <w:lvlText w:val="•"/>
      <w:lvlJc w:val="left"/>
      <w:pPr>
        <w:ind w:left="895" w:hanging="358"/>
      </w:pPr>
      <w:rPr>
        <w:rFonts w:hint="default"/>
        <w:lang w:val="en-US" w:eastAsia="en-US" w:bidi="ar-SA"/>
      </w:rPr>
    </w:lvl>
    <w:lvl w:ilvl="2" w:tplc="C8E48E22">
      <w:numFmt w:val="bullet"/>
      <w:lvlText w:val="•"/>
      <w:lvlJc w:val="left"/>
      <w:pPr>
        <w:ind w:left="1330" w:hanging="358"/>
      </w:pPr>
      <w:rPr>
        <w:rFonts w:hint="default"/>
        <w:lang w:val="en-US" w:eastAsia="en-US" w:bidi="ar-SA"/>
      </w:rPr>
    </w:lvl>
    <w:lvl w:ilvl="3" w:tplc="4AD8C08C">
      <w:numFmt w:val="bullet"/>
      <w:lvlText w:val="•"/>
      <w:lvlJc w:val="left"/>
      <w:pPr>
        <w:ind w:left="1765" w:hanging="358"/>
      </w:pPr>
      <w:rPr>
        <w:rFonts w:hint="default"/>
        <w:lang w:val="en-US" w:eastAsia="en-US" w:bidi="ar-SA"/>
      </w:rPr>
    </w:lvl>
    <w:lvl w:ilvl="4" w:tplc="41D295BE">
      <w:numFmt w:val="bullet"/>
      <w:lvlText w:val="•"/>
      <w:lvlJc w:val="left"/>
      <w:pPr>
        <w:ind w:left="2200" w:hanging="358"/>
      </w:pPr>
      <w:rPr>
        <w:rFonts w:hint="default"/>
        <w:lang w:val="en-US" w:eastAsia="en-US" w:bidi="ar-SA"/>
      </w:rPr>
    </w:lvl>
    <w:lvl w:ilvl="5" w:tplc="01208BD8">
      <w:numFmt w:val="bullet"/>
      <w:lvlText w:val="•"/>
      <w:lvlJc w:val="left"/>
      <w:pPr>
        <w:ind w:left="2636" w:hanging="358"/>
      </w:pPr>
      <w:rPr>
        <w:rFonts w:hint="default"/>
        <w:lang w:val="en-US" w:eastAsia="en-US" w:bidi="ar-SA"/>
      </w:rPr>
    </w:lvl>
    <w:lvl w:ilvl="6" w:tplc="45D6A456">
      <w:numFmt w:val="bullet"/>
      <w:lvlText w:val="•"/>
      <w:lvlJc w:val="left"/>
      <w:pPr>
        <w:ind w:left="3071" w:hanging="358"/>
      </w:pPr>
      <w:rPr>
        <w:rFonts w:hint="default"/>
        <w:lang w:val="en-US" w:eastAsia="en-US" w:bidi="ar-SA"/>
      </w:rPr>
    </w:lvl>
    <w:lvl w:ilvl="7" w:tplc="05FE1D32">
      <w:numFmt w:val="bullet"/>
      <w:lvlText w:val="•"/>
      <w:lvlJc w:val="left"/>
      <w:pPr>
        <w:ind w:left="3506" w:hanging="358"/>
      </w:pPr>
      <w:rPr>
        <w:rFonts w:hint="default"/>
        <w:lang w:val="en-US" w:eastAsia="en-US" w:bidi="ar-SA"/>
      </w:rPr>
    </w:lvl>
    <w:lvl w:ilvl="8" w:tplc="89108A6E">
      <w:numFmt w:val="bullet"/>
      <w:lvlText w:val="•"/>
      <w:lvlJc w:val="left"/>
      <w:pPr>
        <w:ind w:left="3941" w:hanging="358"/>
      </w:pPr>
      <w:rPr>
        <w:rFonts w:hint="default"/>
        <w:lang w:val="en-US" w:eastAsia="en-US" w:bidi="ar-SA"/>
      </w:rPr>
    </w:lvl>
  </w:abstractNum>
  <w:abstractNum w:abstractNumId="10" w15:restartNumberingAfterBreak="0">
    <w:nsid w:val="4E6A06C4"/>
    <w:multiLevelType w:val="hybridMultilevel"/>
    <w:tmpl w:val="8C680CFA"/>
    <w:lvl w:ilvl="0" w:tplc="2646A3E8">
      <w:numFmt w:val="bullet"/>
      <w:lvlText w:val="o"/>
      <w:lvlJc w:val="left"/>
      <w:pPr>
        <w:ind w:left="394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3349A76">
      <w:numFmt w:val="bullet"/>
      <w:lvlText w:val="•"/>
      <w:lvlJc w:val="left"/>
      <w:pPr>
        <w:ind w:left="841" w:hanging="284"/>
      </w:pPr>
      <w:rPr>
        <w:rFonts w:hint="default"/>
        <w:lang w:val="en-US" w:eastAsia="en-US" w:bidi="ar-SA"/>
      </w:rPr>
    </w:lvl>
    <w:lvl w:ilvl="2" w:tplc="26C4777A">
      <w:numFmt w:val="bullet"/>
      <w:lvlText w:val="•"/>
      <w:lvlJc w:val="left"/>
      <w:pPr>
        <w:ind w:left="1282" w:hanging="284"/>
      </w:pPr>
      <w:rPr>
        <w:rFonts w:hint="default"/>
        <w:lang w:val="en-US" w:eastAsia="en-US" w:bidi="ar-SA"/>
      </w:rPr>
    </w:lvl>
    <w:lvl w:ilvl="3" w:tplc="2070E3DE">
      <w:numFmt w:val="bullet"/>
      <w:lvlText w:val="•"/>
      <w:lvlJc w:val="left"/>
      <w:pPr>
        <w:ind w:left="1723" w:hanging="284"/>
      </w:pPr>
      <w:rPr>
        <w:rFonts w:hint="default"/>
        <w:lang w:val="en-US" w:eastAsia="en-US" w:bidi="ar-SA"/>
      </w:rPr>
    </w:lvl>
    <w:lvl w:ilvl="4" w:tplc="58228E1C">
      <w:numFmt w:val="bullet"/>
      <w:lvlText w:val="•"/>
      <w:lvlJc w:val="left"/>
      <w:pPr>
        <w:ind w:left="2164" w:hanging="284"/>
      </w:pPr>
      <w:rPr>
        <w:rFonts w:hint="default"/>
        <w:lang w:val="en-US" w:eastAsia="en-US" w:bidi="ar-SA"/>
      </w:rPr>
    </w:lvl>
    <w:lvl w:ilvl="5" w:tplc="3E246228">
      <w:numFmt w:val="bullet"/>
      <w:lvlText w:val="•"/>
      <w:lvlJc w:val="left"/>
      <w:pPr>
        <w:ind w:left="2606" w:hanging="284"/>
      </w:pPr>
      <w:rPr>
        <w:rFonts w:hint="default"/>
        <w:lang w:val="en-US" w:eastAsia="en-US" w:bidi="ar-SA"/>
      </w:rPr>
    </w:lvl>
    <w:lvl w:ilvl="6" w:tplc="2FA2BC44">
      <w:numFmt w:val="bullet"/>
      <w:lvlText w:val="•"/>
      <w:lvlJc w:val="left"/>
      <w:pPr>
        <w:ind w:left="3047" w:hanging="284"/>
      </w:pPr>
      <w:rPr>
        <w:rFonts w:hint="default"/>
        <w:lang w:val="en-US" w:eastAsia="en-US" w:bidi="ar-SA"/>
      </w:rPr>
    </w:lvl>
    <w:lvl w:ilvl="7" w:tplc="286AF6A8">
      <w:numFmt w:val="bullet"/>
      <w:lvlText w:val="•"/>
      <w:lvlJc w:val="left"/>
      <w:pPr>
        <w:ind w:left="3488" w:hanging="284"/>
      </w:pPr>
      <w:rPr>
        <w:rFonts w:hint="default"/>
        <w:lang w:val="en-US" w:eastAsia="en-US" w:bidi="ar-SA"/>
      </w:rPr>
    </w:lvl>
    <w:lvl w:ilvl="8" w:tplc="1ACAFF66">
      <w:numFmt w:val="bullet"/>
      <w:lvlText w:val="•"/>
      <w:lvlJc w:val="left"/>
      <w:pPr>
        <w:ind w:left="3929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511A1082"/>
    <w:multiLevelType w:val="hybridMultilevel"/>
    <w:tmpl w:val="E280F370"/>
    <w:lvl w:ilvl="0" w:tplc="CF00DD70">
      <w:numFmt w:val="bullet"/>
      <w:lvlText w:val=""/>
      <w:lvlJc w:val="left"/>
      <w:pPr>
        <w:ind w:left="336" w:hanging="2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B6E5BF8">
      <w:numFmt w:val="bullet"/>
      <w:lvlText w:val="•"/>
      <w:lvlJc w:val="left"/>
      <w:pPr>
        <w:ind w:left="1240" w:hanging="228"/>
      </w:pPr>
      <w:rPr>
        <w:rFonts w:hint="default"/>
        <w:lang w:val="en-US" w:eastAsia="en-US" w:bidi="ar-SA"/>
      </w:rPr>
    </w:lvl>
    <w:lvl w:ilvl="2" w:tplc="B712C87A">
      <w:numFmt w:val="bullet"/>
      <w:lvlText w:val="•"/>
      <w:lvlJc w:val="left"/>
      <w:pPr>
        <w:ind w:left="2141" w:hanging="228"/>
      </w:pPr>
      <w:rPr>
        <w:rFonts w:hint="default"/>
        <w:lang w:val="en-US" w:eastAsia="en-US" w:bidi="ar-SA"/>
      </w:rPr>
    </w:lvl>
    <w:lvl w:ilvl="3" w:tplc="64C2C5EC">
      <w:numFmt w:val="bullet"/>
      <w:lvlText w:val="•"/>
      <w:lvlJc w:val="left"/>
      <w:pPr>
        <w:ind w:left="3041" w:hanging="228"/>
      </w:pPr>
      <w:rPr>
        <w:rFonts w:hint="default"/>
        <w:lang w:val="en-US" w:eastAsia="en-US" w:bidi="ar-SA"/>
      </w:rPr>
    </w:lvl>
    <w:lvl w:ilvl="4" w:tplc="8BB887B6">
      <w:numFmt w:val="bullet"/>
      <w:lvlText w:val="•"/>
      <w:lvlJc w:val="left"/>
      <w:pPr>
        <w:ind w:left="3942" w:hanging="228"/>
      </w:pPr>
      <w:rPr>
        <w:rFonts w:hint="default"/>
        <w:lang w:val="en-US" w:eastAsia="en-US" w:bidi="ar-SA"/>
      </w:rPr>
    </w:lvl>
    <w:lvl w:ilvl="5" w:tplc="BAB2CB88">
      <w:numFmt w:val="bullet"/>
      <w:lvlText w:val="•"/>
      <w:lvlJc w:val="left"/>
      <w:pPr>
        <w:ind w:left="4843" w:hanging="228"/>
      </w:pPr>
      <w:rPr>
        <w:rFonts w:hint="default"/>
        <w:lang w:val="en-US" w:eastAsia="en-US" w:bidi="ar-SA"/>
      </w:rPr>
    </w:lvl>
    <w:lvl w:ilvl="6" w:tplc="9F9A5EB6">
      <w:numFmt w:val="bullet"/>
      <w:lvlText w:val="•"/>
      <w:lvlJc w:val="left"/>
      <w:pPr>
        <w:ind w:left="5743" w:hanging="228"/>
      </w:pPr>
      <w:rPr>
        <w:rFonts w:hint="default"/>
        <w:lang w:val="en-US" w:eastAsia="en-US" w:bidi="ar-SA"/>
      </w:rPr>
    </w:lvl>
    <w:lvl w:ilvl="7" w:tplc="EE0C04B2">
      <w:numFmt w:val="bullet"/>
      <w:lvlText w:val="•"/>
      <w:lvlJc w:val="left"/>
      <w:pPr>
        <w:ind w:left="6644" w:hanging="228"/>
      </w:pPr>
      <w:rPr>
        <w:rFonts w:hint="default"/>
        <w:lang w:val="en-US" w:eastAsia="en-US" w:bidi="ar-SA"/>
      </w:rPr>
    </w:lvl>
    <w:lvl w:ilvl="8" w:tplc="6F849932">
      <w:numFmt w:val="bullet"/>
      <w:lvlText w:val="•"/>
      <w:lvlJc w:val="left"/>
      <w:pPr>
        <w:ind w:left="7544" w:hanging="228"/>
      </w:pPr>
      <w:rPr>
        <w:rFonts w:hint="default"/>
        <w:lang w:val="en-US" w:eastAsia="en-US" w:bidi="ar-SA"/>
      </w:rPr>
    </w:lvl>
  </w:abstractNum>
  <w:abstractNum w:abstractNumId="12" w15:restartNumberingAfterBreak="0">
    <w:nsid w:val="5D2647A8"/>
    <w:multiLevelType w:val="hybridMultilevel"/>
    <w:tmpl w:val="7F8EE4C6"/>
    <w:lvl w:ilvl="0" w:tplc="455097D0">
      <w:numFmt w:val="bullet"/>
      <w:lvlText w:val=""/>
      <w:lvlJc w:val="left"/>
      <w:pPr>
        <w:ind w:left="336" w:hanging="2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460A3B8">
      <w:numFmt w:val="bullet"/>
      <w:lvlText w:val="•"/>
      <w:lvlJc w:val="left"/>
      <w:pPr>
        <w:ind w:left="1240" w:hanging="228"/>
      </w:pPr>
      <w:rPr>
        <w:rFonts w:hint="default"/>
        <w:lang w:val="en-US" w:eastAsia="en-US" w:bidi="ar-SA"/>
      </w:rPr>
    </w:lvl>
    <w:lvl w:ilvl="2" w:tplc="71648516">
      <w:numFmt w:val="bullet"/>
      <w:lvlText w:val="•"/>
      <w:lvlJc w:val="left"/>
      <w:pPr>
        <w:ind w:left="2141" w:hanging="228"/>
      </w:pPr>
      <w:rPr>
        <w:rFonts w:hint="default"/>
        <w:lang w:val="en-US" w:eastAsia="en-US" w:bidi="ar-SA"/>
      </w:rPr>
    </w:lvl>
    <w:lvl w:ilvl="3" w:tplc="0C16F970">
      <w:numFmt w:val="bullet"/>
      <w:lvlText w:val="•"/>
      <w:lvlJc w:val="left"/>
      <w:pPr>
        <w:ind w:left="3041" w:hanging="228"/>
      </w:pPr>
      <w:rPr>
        <w:rFonts w:hint="default"/>
        <w:lang w:val="en-US" w:eastAsia="en-US" w:bidi="ar-SA"/>
      </w:rPr>
    </w:lvl>
    <w:lvl w:ilvl="4" w:tplc="E5D850B0">
      <w:numFmt w:val="bullet"/>
      <w:lvlText w:val="•"/>
      <w:lvlJc w:val="left"/>
      <w:pPr>
        <w:ind w:left="3942" w:hanging="228"/>
      </w:pPr>
      <w:rPr>
        <w:rFonts w:hint="default"/>
        <w:lang w:val="en-US" w:eastAsia="en-US" w:bidi="ar-SA"/>
      </w:rPr>
    </w:lvl>
    <w:lvl w:ilvl="5" w:tplc="F6CA4C66">
      <w:numFmt w:val="bullet"/>
      <w:lvlText w:val="•"/>
      <w:lvlJc w:val="left"/>
      <w:pPr>
        <w:ind w:left="4843" w:hanging="228"/>
      </w:pPr>
      <w:rPr>
        <w:rFonts w:hint="default"/>
        <w:lang w:val="en-US" w:eastAsia="en-US" w:bidi="ar-SA"/>
      </w:rPr>
    </w:lvl>
    <w:lvl w:ilvl="6" w:tplc="72A0C8B0">
      <w:numFmt w:val="bullet"/>
      <w:lvlText w:val="•"/>
      <w:lvlJc w:val="left"/>
      <w:pPr>
        <w:ind w:left="5743" w:hanging="228"/>
      </w:pPr>
      <w:rPr>
        <w:rFonts w:hint="default"/>
        <w:lang w:val="en-US" w:eastAsia="en-US" w:bidi="ar-SA"/>
      </w:rPr>
    </w:lvl>
    <w:lvl w:ilvl="7" w:tplc="7D42C218">
      <w:numFmt w:val="bullet"/>
      <w:lvlText w:val="•"/>
      <w:lvlJc w:val="left"/>
      <w:pPr>
        <w:ind w:left="6644" w:hanging="228"/>
      </w:pPr>
      <w:rPr>
        <w:rFonts w:hint="default"/>
        <w:lang w:val="en-US" w:eastAsia="en-US" w:bidi="ar-SA"/>
      </w:rPr>
    </w:lvl>
    <w:lvl w:ilvl="8" w:tplc="CA8C14B6">
      <w:numFmt w:val="bullet"/>
      <w:lvlText w:val="•"/>
      <w:lvlJc w:val="left"/>
      <w:pPr>
        <w:ind w:left="7544" w:hanging="228"/>
      </w:pPr>
      <w:rPr>
        <w:rFonts w:hint="default"/>
        <w:lang w:val="en-US" w:eastAsia="en-US" w:bidi="ar-SA"/>
      </w:rPr>
    </w:lvl>
  </w:abstractNum>
  <w:abstractNum w:abstractNumId="13" w15:restartNumberingAfterBreak="0">
    <w:nsid w:val="5EEF3B67"/>
    <w:multiLevelType w:val="hybridMultilevel"/>
    <w:tmpl w:val="5ACEF496"/>
    <w:lvl w:ilvl="0" w:tplc="9FA29134">
      <w:numFmt w:val="bullet"/>
      <w:lvlText w:val="o"/>
      <w:lvlJc w:val="left"/>
      <w:pPr>
        <w:ind w:left="468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F38E3E8">
      <w:numFmt w:val="bullet"/>
      <w:lvlText w:val="•"/>
      <w:lvlJc w:val="left"/>
      <w:pPr>
        <w:ind w:left="895" w:hanging="358"/>
      </w:pPr>
      <w:rPr>
        <w:rFonts w:hint="default"/>
        <w:lang w:val="en-US" w:eastAsia="en-US" w:bidi="ar-SA"/>
      </w:rPr>
    </w:lvl>
    <w:lvl w:ilvl="2" w:tplc="BD2E1B58">
      <w:numFmt w:val="bullet"/>
      <w:lvlText w:val="•"/>
      <w:lvlJc w:val="left"/>
      <w:pPr>
        <w:ind w:left="1330" w:hanging="358"/>
      </w:pPr>
      <w:rPr>
        <w:rFonts w:hint="default"/>
        <w:lang w:val="en-US" w:eastAsia="en-US" w:bidi="ar-SA"/>
      </w:rPr>
    </w:lvl>
    <w:lvl w:ilvl="3" w:tplc="84A8B8A2">
      <w:numFmt w:val="bullet"/>
      <w:lvlText w:val="•"/>
      <w:lvlJc w:val="left"/>
      <w:pPr>
        <w:ind w:left="1765" w:hanging="358"/>
      </w:pPr>
      <w:rPr>
        <w:rFonts w:hint="default"/>
        <w:lang w:val="en-US" w:eastAsia="en-US" w:bidi="ar-SA"/>
      </w:rPr>
    </w:lvl>
    <w:lvl w:ilvl="4" w:tplc="94A4DB0C">
      <w:numFmt w:val="bullet"/>
      <w:lvlText w:val="•"/>
      <w:lvlJc w:val="left"/>
      <w:pPr>
        <w:ind w:left="2200" w:hanging="358"/>
      </w:pPr>
      <w:rPr>
        <w:rFonts w:hint="default"/>
        <w:lang w:val="en-US" w:eastAsia="en-US" w:bidi="ar-SA"/>
      </w:rPr>
    </w:lvl>
    <w:lvl w:ilvl="5" w:tplc="FF6ED05E">
      <w:numFmt w:val="bullet"/>
      <w:lvlText w:val="•"/>
      <w:lvlJc w:val="left"/>
      <w:pPr>
        <w:ind w:left="2636" w:hanging="358"/>
      </w:pPr>
      <w:rPr>
        <w:rFonts w:hint="default"/>
        <w:lang w:val="en-US" w:eastAsia="en-US" w:bidi="ar-SA"/>
      </w:rPr>
    </w:lvl>
    <w:lvl w:ilvl="6" w:tplc="442A5364">
      <w:numFmt w:val="bullet"/>
      <w:lvlText w:val="•"/>
      <w:lvlJc w:val="left"/>
      <w:pPr>
        <w:ind w:left="3071" w:hanging="358"/>
      </w:pPr>
      <w:rPr>
        <w:rFonts w:hint="default"/>
        <w:lang w:val="en-US" w:eastAsia="en-US" w:bidi="ar-SA"/>
      </w:rPr>
    </w:lvl>
    <w:lvl w:ilvl="7" w:tplc="7DC2E6DC">
      <w:numFmt w:val="bullet"/>
      <w:lvlText w:val="•"/>
      <w:lvlJc w:val="left"/>
      <w:pPr>
        <w:ind w:left="3506" w:hanging="358"/>
      </w:pPr>
      <w:rPr>
        <w:rFonts w:hint="default"/>
        <w:lang w:val="en-US" w:eastAsia="en-US" w:bidi="ar-SA"/>
      </w:rPr>
    </w:lvl>
    <w:lvl w:ilvl="8" w:tplc="1EAE542C">
      <w:numFmt w:val="bullet"/>
      <w:lvlText w:val="•"/>
      <w:lvlJc w:val="left"/>
      <w:pPr>
        <w:ind w:left="3941" w:hanging="358"/>
      </w:pPr>
      <w:rPr>
        <w:rFonts w:hint="default"/>
        <w:lang w:val="en-US" w:eastAsia="en-US" w:bidi="ar-SA"/>
      </w:rPr>
    </w:lvl>
  </w:abstractNum>
  <w:abstractNum w:abstractNumId="14" w15:restartNumberingAfterBreak="0">
    <w:nsid w:val="698F5F1A"/>
    <w:multiLevelType w:val="hybridMultilevel"/>
    <w:tmpl w:val="48963892"/>
    <w:lvl w:ilvl="0" w:tplc="BBA09EF0">
      <w:numFmt w:val="bullet"/>
      <w:lvlText w:val="o"/>
      <w:lvlJc w:val="left"/>
      <w:pPr>
        <w:ind w:left="394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FAC6CD6">
      <w:numFmt w:val="bullet"/>
      <w:lvlText w:val="•"/>
      <w:lvlJc w:val="left"/>
      <w:pPr>
        <w:ind w:left="841" w:hanging="284"/>
      </w:pPr>
      <w:rPr>
        <w:rFonts w:hint="default"/>
        <w:lang w:val="en-US" w:eastAsia="en-US" w:bidi="ar-SA"/>
      </w:rPr>
    </w:lvl>
    <w:lvl w:ilvl="2" w:tplc="B1CA32D6">
      <w:numFmt w:val="bullet"/>
      <w:lvlText w:val="•"/>
      <w:lvlJc w:val="left"/>
      <w:pPr>
        <w:ind w:left="1282" w:hanging="284"/>
      </w:pPr>
      <w:rPr>
        <w:rFonts w:hint="default"/>
        <w:lang w:val="en-US" w:eastAsia="en-US" w:bidi="ar-SA"/>
      </w:rPr>
    </w:lvl>
    <w:lvl w:ilvl="3" w:tplc="A31611C4">
      <w:numFmt w:val="bullet"/>
      <w:lvlText w:val="•"/>
      <w:lvlJc w:val="left"/>
      <w:pPr>
        <w:ind w:left="1723" w:hanging="284"/>
      </w:pPr>
      <w:rPr>
        <w:rFonts w:hint="default"/>
        <w:lang w:val="en-US" w:eastAsia="en-US" w:bidi="ar-SA"/>
      </w:rPr>
    </w:lvl>
    <w:lvl w:ilvl="4" w:tplc="E27E8F3A">
      <w:numFmt w:val="bullet"/>
      <w:lvlText w:val="•"/>
      <w:lvlJc w:val="left"/>
      <w:pPr>
        <w:ind w:left="2164" w:hanging="284"/>
      </w:pPr>
      <w:rPr>
        <w:rFonts w:hint="default"/>
        <w:lang w:val="en-US" w:eastAsia="en-US" w:bidi="ar-SA"/>
      </w:rPr>
    </w:lvl>
    <w:lvl w:ilvl="5" w:tplc="20269ACA">
      <w:numFmt w:val="bullet"/>
      <w:lvlText w:val="•"/>
      <w:lvlJc w:val="left"/>
      <w:pPr>
        <w:ind w:left="2606" w:hanging="284"/>
      </w:pPr>
      <w:rPr>
        <w:rFonts w:hint="default"/>
        <w:lang w:val="en-US" w:eastAsia="en-US" w:bidi="ar-SA"/>
      </w:rPr>
    </w:lvl>
    <w:lvl w:ilvl="6" w:tplc="DC9003C6">
      <w:numFmt w:val="bullet"/>
      <w:lvlText w:val="•"/>
      <w:lvlJc w:val="left"/>
      <w:pPr>
        <w:ind w:left="3047" w:hanging="284"/>
      </w:pPr>
      <w:rPr>
        <w:rFonts w:hint="default"/>
        <w:lang w:val="en-US" w:eastAsia="en-US" w:bidi="ar-SA"/>
      </w:rPr>
    </w:lvl>
    <w:lvl w:ilvl="7" w:tplc="19589DFE">
      <w:numFmt w:val="bullet"/>
      <w:lvlText w:val="•"/>
      <w:lvlJc w:val="left"/>
      <w:pPr>
        <w:ind w:left="3488" w:hanging="284"/>
      </w:pPr>
      <w:rPr>
        <w:rFonts w:hint="default"/>
        <w:lang w:val="en-US" w:eastAsia="en-US" w:bidi="ar-SA"/>
      </w:rPr>
    </w:lvl>
    <w:lvl w:ilvl="8" w:tplc="CAEE83B4">
      <w:numFmt w:val="bullet"/>
      <w:lvlText w:val="•"/>
      <w:lvlJc w:val="left"/>
      <w:pPr>
        <w:ind w:left="3929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6D2327AC"/>
    <w:multiLevelType w:val="hybridMultilevel"/>
    <w:tmpl w:val="3DFAF4C8"/>
    <w:lvl w:ilvl="0" w:tplc="37C6F2CE">
      <w:numFmt w:val="bullet"/>
      <w:lvlText w:val="o"/>
      <w:lvlJc w:val="left"/>
      <w:pPr>
        <w:ind w:left="468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57A4186">
      <w:numFmt w:val="bullet"/>
      <w:lvlText w:val="•"/>
      <w:lvlJc w:val="left"/>
      <w:pPr>
        <w:ind w:left="895" w:hanging="358"/>
      </w:pPr>
      <w:rPr>
        <w:rFonts w:hint="default"/>
        <w:lang w:val="en-US" w:eastAsia="en-US" w:bidi="ar-SA"/>
      </w:rPr>
    </w:lvl>
    <w:lvl w:ilvl="2" w:tplc="126AC85C">
      <w:numFmt w:val="bullet"/>
      <w:lvlText w:val="•"/>
      <w:lvlJc w:val="left"/>
      <w:pPr>
        <w:ind w:left="1330" w:hanging="358"/>
      </w:pPr>
      <w:rPr>
        <w:rFonts w:hint="default"/>
        <w:lang w:val="en-US" w:eastAsia="en-US" w:bidi="ar-SA"/>
      </w:rPr>
    </w:lvl>
    <w:lvl w:ilvl="3" w:tplc="24BC9F92">
      <w:numFmt w:val="bullet"/>
      <w:lvlText w:val="•"/>
      <w:lvlJc w:val="left"/>
      <w:pPr>
        <w:ind w:left="1765" w:hanging="358"/>
      </w:pPr>
      <w:rPr>
        <w:rFonts w:hint="default"/>
        <w:lang w:val="en-US" w:eastAsia="en-US" w:bidi="ar-SA"/>
      </w:rPr>
    </w:lvl>
    <w:lvl w:ilvl="4" w:tplc="4FE09E74">
      <w:numFmt w:val="bullet"/>
      <w:lvlText w:val="•"/>
      <w:lvlJc w:val="left"/>
      <w:pPr>
        <w:ind w:left="2200" w:hanging="358"/>
      </w:pPr>
      <w:rPr>
        <w:rFonts w:hint="default"/>
        <w:lang w:val="en-US" w:eastAsia="en-US" w:bidi="ar-SA"/>
      </w:rPr>
    </w:lvl>
    <w:lvl w:ilvl="5" w:tplc="58B20A4C">
      <w:numFmt w:val="bullet"/>
      <w:lvlText w:val="•"/>
      <w:lvlJc w:val="left"/>
      <w:pPr>
        <w:ind w:left="2636" w:hanging="358"/>
      </w:pPr>
      <w:rPr>
        <w:rFonts w:hint="default"/>
        <w:lang w:val="en-US" w:eastAsia="en-US" w:bidi="ar-SA"/>
      </w:rPr>
    </w:lvl>
    <w:lvl w:ilvl="6" w:tplc="7C846612">
      <w:numFmt w:val="bullet"/>
      <w:lvlText w:val="•"/>
      <w:lvlJc w:val="left"/>
      <w:pPr>
        <w:ind w:left="3071" w:hanging="358"/>
      </w:pPr>
      <w:rPr>
        <w:rFonts w:hint="default"/>
        <w:lang w:val="en-US" w:eastAsia="en-US" w:bidi="ar-SA"/>
      </w:rPr>
    </w:lvl>
    <w:lvl w:ilvl="7" w:tplc="462C7986">
      <w:numFmt w:val="bullet"/>
      <w:lvlText w:val="•"/>
      <w:lvlJc w:val="left"/>
      <w:pPr>
        <w:ind w:left="3506" w:hanging="358"/>
      </w:pPr>
      <w:rPr>
        <w:rFonts w:hint="default"/>
        <w:lang w:val="en-US" w:eastAsia="en-US" w:bidi="ar-SA"/>
      </w:rPr>
    </w:lvl>
    <w:lvl w:ilvl="8" w:tplc="8A7416C0">
      <w:numFmt w:val="bullet"/>
      <w:lvlText w:val="•"/>
      <w:lvlJc w:val="left"/>
      <w:pPr>
        <w:ind w:left="3941" w:hanging="358"/>
      </w:pPr>
      <w:rPr>
        <w:rFonts w:hint="default"/>
        <w:lang w:val="en-US" w:eastAsia="en-US" w:bidi="ar-SA"/>
      </w:rPr>
    </w:lvl>
  </w:abstractNum>
  <w:abstractNum w:abstractNumId="16" w15:restartNumberingAfterBreak="0">
    <w:nsid w:val="6E806330"/>
    <w:multiLevelType w:val="hybridMultilevel"/>
    <w:tmpl w:val="D29E8FD0"/>
    <w:lvl w:ilvl="0" w:tplc="9326BADA">
      <w:numFmt w:val="bullet"/>
      <w:lvlText w:val="o"/>
      <w:lvlJc w:val="left"/>
      <w:pPr>
        <w:ind w:left="394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A2EEB68">
      <w:numFmt w:val="bullet"/>
      <w:lvlText w:val="•"/>
      <w:lvlJc w:val="left"/>
      <w:pPr>
        <w:ind w:left="841" w:hanging="284"/>
      </w:pPr>
      <w:rPr>
        <w:rFonts w:hint="default"/>
        <w:lang w:val="en-US" w:eastAsia="en-US" w:bidi="ar-SA"/>
      </w:rPr>
    </w:lvl>
    <w:lvl w:ilvl="2" w:tplc="8AB60A34">
      <w:numFmt w:val="bullet"/>
      <w:lvlText w:val="•"/>
      <w:lvlJc w:val="left"/>
      <w:pPr>
        <w:ind w:left="1282" w:hanging="284"/>
      </w:pPr>
      <w:rPr>
        <w:rFonts w:hint="default"/>
        <w:lang w:val="en-US" w:eastAsia="en-US" w:bidi="ar-SA"/>
      </w:rPr>
    </w:lvl>
    <w:lvl w:ilvl="3" w:tplc="E624A760">
      <w:numFmt w:val="bullet"/>
      <w:lvlText w:val="•"/>
      <w:lvlJc w:val="left"/>
      <w:pPr>
        <w:ind w:left="1723" w:hanging="284"/>
      </w:pPr>
      <w:rPr>
        <w:rFonts w:hint="default"/>
        <w:lang w:val="en-US" w:eastAsia="en-US" w:bidi="ar-SA"/>
      </w:rPr>
    </w:lvl>
    <w:lvl w:ilvl="4" w:tplc="7B26FFF8">
      <w:numFmt w:val="bullet"/>
      <w:lvlText w:val="•"/>
      <w:lvlJc w:val="left"/>
      <w:pPr>
        <w:ind w:left="2164" w:hanging="284"/>
      </w:pPr>
      <w:rPr>
        <w:rFonts w:hint="default"/>
        <w:lang w:val="en-US" w:eastAsia="en-US" w:bidi="ar-SA"/>
      </w:rPr>
    </w:lvl>
    <w:lvl w:ilvl="5" w:tplc="8B0274B8">
      <w:numFmt w:val="bullet"/>
      <w:lvlText w:val="•"/>
      <w:lvlJc w:val="left"/>
      <w:pPr>
        <w:ind w:left="2606" w:hanging="284"/>
      </w:pPr>
      <w:rPr>
        <w:rFonts w:hint="default"/>
        <w:lang w:val="en-US" w:eastAsia="en-US" w:bidi="ar-SA"/>
      </w:rPr>
    </w:lvl>
    <w:lvl w:ilvl="6" w:tplc="1922A716">
      <w:numFmt w:val="bullet"/>
      <w:lvlText w:val="•"/>
      <w:lvlJc w:val="left"/>
      <w:pPr>
        <w:ind w:left="3047" w:hanging="284"/>
      </w:pPr>
      <w:rPr>
        <w:rFonts w:hint="default"/>
        <w:lang w:val="en-US" w:eastAsia="en-US" w:bidi="ar-SA"/>
      </w:rPr>
    </w:lvl>
    <w:lvl w:ilvl="7" w:tplc="8BFA7B78">
      <w:numFmt w:val="bullet"/>
      <w:lvlText w:val="•"/>
      <w:lvlJc w:val="left"/>
      <w:pPr>
        <w:ind w:left="3488" w:hanging="284"/>
      </w:pPr>
      <w:rPr>
        <w:rFonts w:hint="default"/>
        <w:lang w:val="en-US" w:eastAsia="en-US" w:bidi="ar-SA"/>
      </w:rPr>
    </w:lvl>
    <w:lvl w:ilvl="8" w:tplc="191A57A4">
      <w:numFmt w:val="bullet"/>
      <w:lvlText w:val="•"/>
      <w:lvlJc w:val="left"/>
      <w:pPr>
        <w:ind w:left="3929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73000B6E"/>
    <w:multiLevelType w:val="hybridMultilevel"/>
    <w:tmpl w:val="533C78A8"/>
    <w:lvl w:ilvl="0" w:tplc="551C8E20">
      <w:numFmt w:val="bullet"/>
      <w:lvlText w:val=""/>
      <w:lvlJc w:val="left"/>
      <w:pPr>
        <w:ind w:left="336" w:hanging="2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CCAE394">
      <w:numFmt w:val="bullet"/>
      <w:lvlText w:val="•"/>
      <w:lvlJc w:val="left"/>
      <w:pPr>
        <w:ind w:left="1240" w:hanging="228"/>
      </w:pPr>
      <w:rPr>
        <w:rFonts w:hint="default"/>
        <w:lang w:val="en-US" w:eastAsia="en-US" w:bidi="ar-SA"/>
      </w:rPr>
    </w:lvl>
    <w:lvl w:ilvl="2" w:tplc="5000A6EC">
      <w:numFmt w:val="bullet"/>
      <w:lvlText w:val="•"/>
      <w:lvlJc w:val="left"/>
      <w:pPr>
        <w:ind w:left="2141" w:hanging="228"/>
      </w:pPr>
      <w:rPr>
        <w:rFonts w:hint="default"/>
        <w:lang w:val="en-US" w:eastAsia="en-US" w:bidi="ar-SA"/>
      </w:rPr>
    </w:lvl>
    <w:lvl w:ilvl="3" w:tplc="2212751C">
      <w:numFmt w:val="bullet"/>
      <w:lvlText w:val="•"/>
      <w:lvlJc w:val="left"/>
      <w:pPr>
        <w:ind w:left="3041" w:hanging="228"/>
      </w:pPr>
      <w:rPr>
        <w:rFonts w:hint="default"/>
        <w:lang w:val="en-US" w:eastAsia="en-US" w:bidi="ar-SA"/>
      </w:rPr>
    </w:lvl>
    <w:lvl w:ilvl="4" w:tplc="206E9A58">
      <w:numFmt w:val="bullet"/>
      <w:lvlText w:val="•"/>
      <w:lvlJc w:val="left"/>
      <w:pPr>
        <w:ind w:left="3942" w:hanging="228"/>
      </w:pPr>
      <w:rPr>
        <w:rFonts w:hint="default"/>
        <w:lang w:val="en-US" w:eastAsia="en-US" w:bidi="ar-SA"/>
      </w:rPr>
    </w:lvl>
    <w:lvl w:ilvl="5" w:tplc="D1A660F0">
      <w:numFmt w:val="bullet"/>
      <w:lvlText w:val="•"/>
      <w:lvlJc w:val="left"/>
      <w:pPr>
        <w:ind w:left="4843" w:hanging="228"/>
      </w:pPr>
      <w:rPr>
        <w:rFonts w:hint="default"/>
        <w:lang w:val="en-US" w:eastAsia="en-US" w:bidi="ar-SA"/>
      </w:rPr>
    </w:lvl>
    <w:lvl w:ilvl="6" w:tplc="2F68F07A">
      <w:numFmt w:val="bullet"/>
      <w:lvlText w:val="•"/>
      <w:lvlJc w:val="left"/>
      <w:pPr>
        <w:ind w:left="5743" w:hanging="228"/>
      </w:pPr>
      <w:rPr>
        <w:rFonts w:hint="default"/>
        <w:lang w:val="en-US" w:eastAsia="en-US" w:bidi="ar-SA"/>
      </w:rPr>
    </w:lvl>
    <w:lvl w:ilvl="7" w:tplc="1B644BD8">
      <w:numFmt w:val="bullet"/>
      <w:lvlText w:val="•"/>
      <w:lvlJc w:val="left"/>
      <w:pPr>
        <w:ind w:left="6644" w:hanging="228"/>
      </w:pPr>
      <w:rPr>
        <w:rFonts w:hint="default"/>
        <w:lang w:val="en-US" w:eastAsia="en-US" w:bidi="ar-SA"/>
      </w:rPr>
    </w:lvl>
    <w:lvl w:ilvl="8" w:tplc="2A58F908">
      <w:numFmt w:val="bullet"/>
      <w:lvlText w:val="•"/>
      <w:lvlJc w:val="left"/>
      <w:pPr>
        <w:ind w:left="7544" w:hanging="228"/>
      </w:pPr>
      <w:rPr>
        <w:rFonts w:hint="default"/>
        <w:lang w:val="en-US" w:eastAsia="en-US" w:bidi="ar-SA"/>
      </w:rPr>
    </w:lvl>
  </w:abstractNum>
  <w:abstractNum w:abstractNumId="18" w15:restartNumberingAfterBreak="0">
    <w:nsid w:val="78774AED"/>
    <w:multiLevelType w:val="hybridMultilevel"/>
    <w:tmpl w:val="72662D12"/>
    <w:lvl w:ilvl="0" w:tplc="56FC9232">
      <w:numFmt w:val="bullet"/>
      <w:lvlText w:val=""/>
      <w:lvlJc w:val="left"/>
      <w:pPr>
        <w:ind w:left="336" w:hanging="2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A2E983A">
      <w:numFmt w:val="bullet"/>
      <w:lvlText w:val="•"/>
      <w:lvlJc w:val="left"/>
      <w:pPr>
        <w:ind w:left="1240" w:hanging="228"/>
      </w:pPr>
      <w:rPr>
        <w:rFonts w:hint="default"/>
        <w:lang w:val="en-US" w:eastAsia="en-US" w:bidi="ar-SA"/>
      </w:rPr>
    </w:lvl>
    <w:lvl w:ilvl="2" w:tplc="73C84D38">
      <w:numFmt w:val="bullet"/>
      <w:lvlText w:val="•"/>
      <w:lvlJc w:val="left"/>
      <w:pPr>
        <w:ind w:left="2141" w:hanging="228"/>
      </w:pPr>
      <w:rPr>
        <w:rFonts w:hint="default"/>
        <w:lang w:val="en-US" w:eastAsia="en-US" w:bidi="ar-SA"/>
      </w:rPr>
    </w:lvl>
    <w:lvl w:ilvl="3" w:tplc="D5E2C00C">
      <w:numFmt w:val="bullet"/>
      <w:lvlText w:val="•"/>
      <w:lvlJc w:val="left"/>
      <w:pPr>
        <w:ind w:left="3041" w:hanging="228"/>
      </w:pPr>
      <w:rPr>
        <w:rFonts w:hint="default"/>
        <w:lang w:val="en-US" w:eastAsia="en-US" w:bidi="ar-SA"/>
      </w:rPr>
    </w:lvl>
    <w:lvl w:ilvl="4" w:tplc="3A845CF8">
      <w:numFmt w:val="bullet"/>
      <w:lvlText w:val="•"/>
      <w:lvlJc w:val="left"/>
      <w:pPr>
        <w:ind w:left="3942" w:hanging="228"/>
      </w:pPr>
      <w:rPr>
        <w:rFonts w:hint="default"/>
        <w:lang w:val="en-US" w:eastAsia="en-US" w:bidi="ar-SA"/>
      </w:rPr>
    </w:lvl>
    <w:lvl w:ilvl="5" w:tplc="F3828C5A">
      <w:numFmt w:val="bullet"/>
      <w:lvlText w:val="•"/>
      <w:lvlJc w:val="left"/>
      <w:pPr>
        <w:ind w:left="4843" w:hanging="228"/>
      </w:pPr>
      <w:rPr>
        <w:rFonts w:hint="default"/>
        <w:lang w:val="en-US" w:eastAsia="en-US" w:bidi="ar-SA"/>
      </w:rPr>
    </w:lvl>
    <w:lvl w:ilvl="6" w:tplc="CE0C2F48">
      <w:numFmt w:val="bullet"/>
      <w:lvlText w:val="•"/>
      <w:lvlJc w:val="left"/>
      <w:pPr>
        <w:ind w:left="5743" w:hanging="228"/>
      </w:pPr>
      <w:rPr>
        <w:rFonts w:hint="default"/>
        <w:lang w:val="en-US" w:eastAsia="en-US" w:bidi="ar-SA"/>
      </w:rPr>
    </w:lvl>
    <w:lvl w:ilvl="7" w:tplc="39BEA81A">
      <w:numFmt w:val="bullet"/>
      <w:lvlText w:val="•"/>
      <w:lvlJc w:val="left"/>
      <w:pPr>
        <w:ind w:left="6644" w:hanging="228"/>
      </w:pPr>
      <w:rPr>
        <w:rFonts w:hint="default"/>
        <w:lang w:val="en-US" w:eastAsia="en-US" w:bidi="ar-SA"/>
      </w:rPr>
    </w:lvl>
    <w:lvl w:ilvl="8" w:tplc="7674AED2">
      <w:numFmt w:val="bullet"/>
      <w:lvlText w:val="•"/>
      <w:lvlJc w:val="left"/>
      <w:pPr>
        <w:ind w:left="7544" w:hanging="228"/>
      </w:pPr>
      <w:rPr>
        <w:rFonts w:hint="default"/>
        <w:lang w:val="en-US" w:eastAsia="en-US" w:bidi="ar-SA"/>
      </w:rPr>
    </w:lvl>
  </w:abstractNum>
  <w:num w:numId="1" w16cid:durableId="1595550672">
    <w:abstractNumId w:val="1"/>
  </w:num>
  <w:num w:numId="2" w16cid:durableId="2072457564">
    <w:abstractNumId w:val="14"/>
  </w:num>
  <w:num w:numId="3" w16cid:durableId="352002093">
    <w:abstractNumId w:val="18"/>
  </w:num>
  <w:num w:numId="4" w16cid:durableId="544297373">
    <w:abstractNumId w:val="17"/>
  </w:num>
  <w:num w:numId="5" w16cid:durableId="1249315987">
    <w:abstractNumId w:val="6"/>
  </w:num>
  <w:num w:numId="6" w16cid:durableId="472143581">
    <w:abstractNumId w:val="12"/>
  </w:num>
  <w:num w:numId="7" w16cid:durableId="432436105">
    <w:abstractNumId w:val="10"/>
  </w:num>
  <w:num w:numId="8" w16cid:durableId="858007994">
    <w:abstractNumId w:val="11"/>
  </w:num>
  <w:num w:numId="9" w16cid:durableId="2125417587">
    <w:abstractNumId w:val="3"/>
  </w:num>
  <w:num w:numId="10" w16cid:durableId="1369141672">
    <w:abstractNumId w:val="5"/>
  </w:num>
  <w:num w:numId="11" w16cid:durableId="547687660">
    <w:abstractNumId w:val="0"/>
  </w:num>
  <w:num w:numId="12" w16cid:durableId="1390960794">
    <w:abstractNumId w:val="4"/>
  </w:num>
  <w:num w:numId="13" w16cid:durableId="827137834">
    <w:abstractNumId w:val="7"/>
  </w:num>
  <w:num w:numId="14" w16cid:durableId="947351778">
    <w:abstractNumId w:val="2"/>
  </w:num>
  <w:num w:numId="15" w16cid:durableId="1002046468">
    <w:abstractNumId w:val="8"/>
  </w:num>
  <w:num w:numId="16" w16cid:durableId="2003119434">
    <w:abstractNumId w:val="16"/>
  </w:num>
  <w:num w:numId="17" w16cid:durableId="1023477671">
    <w:abstractNumId w:val="15"/>
  </w:num>
  <w:num w:numId="18" w16cid:durableId="1000545066">
    <w:abstractNumId w:val="9"/>
  </w:num>
  <w:num w:numId="19" w16cid:durableId="3698895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B3"/>
    <w:rsid w:val="00065B82"/>
    <w:rsid w:val="0057344B"/>
    <w:rsid w:val="00662BB3"/>
    <w:rsid w:val="009A4F71"/>
    <w:rsid w:val="00A27238"/>
    <w:rsid w:val="00E91A42"/>
    <w:rsid w:val="00E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F7DD"/>
  <w15:chartTrackingRefBased/>
  <w15:docId w15:val="{E1C4E721-CEB1-49F8-B422-D10CC6B0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2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662BB3"/>
    <w:pPr>
      <w:spacing w:before="65"/>
      <w:ind w:right="99"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2BB3"/>
    <w:rPr>
      <w:rFonts w:ascii="Times New Roman" w:eastAsia="Times New Roman" w:hAnsi="Times New Roman" w:cs="Times New Roman"/>
      <w:b/>
      <w:bCs/>
      <w:kern w:val="0"/>
      <w:sz w:val="28"/>
      <w:szCs w:val="28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62BB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662BB3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62BB3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Nzev">
    <w:name w:val="Title"/>
    <w:basedOn w:val="Normln"/>
    <w:link w:val="NzevChar"/>
    <w:uiPriority w:val="10"/>
    <w:qFormat/>
    <w:rsid w:val="00662BB3"/>
    <w:pPr>
      <w:ind w:left="106"/>
    </w:pPr>
    <w:rPr>
      <w:rFonts w:ascii="Arial" w:eastAsia="Arial" w:hAnsi="Arial" w:cs="Arial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662BB3"/>
    <w:rPr>
      <w:rFonts w:ascii="Arial" w:eastAsia="Arial" w:hAnsi="Arial" w:cs="Arial"/>
      <w:b/>
      <w:bCs/>
      <w:kern w:val="0"/>
      <w:sz w:val="48"/>
      <w:szCs w:val="48"/>
      <w:lang w:val="en-US"/>
      <w14:ligatures w14:val="none"/>
    </w:rPr>
  </w:style>
  <w:style w:type="paragraph" w:styleId="Odstavecseseznamem">
    <w:name w:val="List Paragraph"/>
    <w:basedOn w:val="Normln"/>
    <w:uiPriority w:val="1"/>
    <w:qFormat/>
    <w:rsid w:val="00662BB3"/>
  </w:style>
  <w:style w:type="paragraph" w:customStyle="1" w:styleId="TableParagraph">
    <w:name w:val="Table Paragraph"/>
    <w:basedOn w:val="Normln"/>
    <w:uiPriority w:val="1"/>
    <w:qFormat/>
    <w:rsid w:val="00662BB3"/>
    <w:pPr>
      <w:spacing w:before="84"/>
      <w:ind w:left="83"/>
    </w:pPr>
  </w:style>
  <w:style w:type="character" w:styleId="Zstupntext">
    <w:name w:val="Placeholder Text"/>
    <w:basedOn w:val="Standardnpsmoodstavce"/>
    <w:uiPriority w:val="99"/>
    <w:semiHidden/>
    <w:rsid w:val="00E91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mission/presscorner/detail/en/ip_22_66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c.europa.eu/commission/presscorner/detail/en/ip_22_66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99F0F4A993D439FE464AD12DBBD9E" ma:contentTypeVersion="10" ma:contentTypeDescription="Create a new document." ma:contentTypeScope="" ma:versionID="51f9ab92e5e2cfb3c1cf73b1f89404b2">
  <xsd:schema xmlns:xsd="http://www.w3.org/2001/XMLSchema" xmlns:xs="http://www.w3.org/2001/XMLSchema" xmlns:p="http://schemas.microsoft.com/office/2006/metadata/properties" xmlns:ns3="17361050-67c1-4b77-9c04-bda6e2ede712" xmlns:ns4="b46dc305-a986-43db-836c-f7808eedb7db" targetNamespace="http://schemas.microsoft.com/office/2006/metadata/properties" ma:root="true" ma:fieldsID="e2baf6b3e5cf2c1f3a5fc0c651f32198" ns3:_="" ns4:_="">
    <xsd:import namespace="17361050-67c1-4b77-9c04-bda6e2ede712"/>
    <xsd:import namespace="b46dc305-a986-43db-836c-f7808eedb7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61050-67c1-4b77-9c04-bda6e2ede7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dc305-a986-43db-836c-f7808eed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9DF7C-9189-4025-9DC7-9845B6D73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A3520-0C16-4475-9659-14F9842C0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61050-67c1-4b77-9c04-bda6e2ede712"/>
    <ds:schemaRef ds:uri="b46dc305-a986-43db-836c-f7808eedb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85202-5A10-4EBC-B102-2A4A256F96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5285</Words>
  <Characters>31186</Characters>
  <Application>Microsoft Office Word</Application>
  <DocSecurity>0</DocSecurity>
  <Lines>259</Lines>
  <Paragraphs>72</Paragraphs>
  <ScaleCrop>false</ScaleCrop>
  <Company/>
  <LinksUpToDate>false</LinksUpToDate>
  <CharactersWithSpaces>36399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Smyčková Renée</dc:creator>
  <cp:keywords/>
  <dc:description/>
  <cp:lastModifiedBy>Smyčková Renée</cp:lastModifiedBy>
  <cp:revision>1</cp:revision>
  <dcterms:created xsi:type="dcterms:W3CDTF">2023-10-25T13:07:00Z</dcterms:created>
  <dcterms:modified xsi:type="dcterms:W3CDTF">2023-10-25T13:42:00Z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0x010100DFD99F0F4A993D439FE464AD12DBBD9E</vt:lpwstr>
  </property>
</Properties>
</file>