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D4D04" w14:textId="77777777" w:rsidR="00D016CF" w:rsidRDefault="00976098" w:rsidP="00EA632C">
      <w:pPr>
        <w:spacing w:after="120"/>
        <w:jc w:val="center"/>
        <w:rPr>
          <w:rFonts w:ascii="Times New Roman" w:hAnsi="Times New Roman" w:cs="Times New Roman"/>
          <w:b/>
          <w:bCs/>
          <w:sz w:val="24"/>
          <w:szCs w:val="24"/>
        </w:rPr>
      </w:pPr>
      <w:r w:rsidRPr="00236EF3">
        <w:rPr>
          <w:rFonts w:ascii="Times New Roman" w:hAnsi="Times New Roman" w:cs="Times New Roman"/>
          <w:b/>
          <w:bCs/>
          <w:sz w:val="24"/>
          <w:szCs w:val="24"/>
        </w:rPr>
        <w:t xml:space="preserve">CALL FOR EXPRESSION OF INTEREST </w:t>
      </w:r>
      <w:r w:rsidR="00A54140">
        <w:rPr>
          <w:rFonts w:ascii="Times New Roman" w:hAnsi="Times New Roman" w:cs="Times New Roman"/>
          <w:b/>
          <w:bCs/>
          <w:sz w:val="24"/>
          <w:szCs w:val="24"/>
        </w:rPr>
        <w:t xml:space="preserve">FOR POTENTIAL </w:t>
      </w:r>
      <w:r w:rsidR="004B1593" w:rsidRPr="00236EF3">
        <w:rPr>
          <w:rFonts w:ascii="Times New Roman" w:hAnsi="Times New Roman" w:cs="Times New Roman"/>
          <w:b/>
          <w:bCs/>
          <w:sz w:val="24"/>
          <w:szCs w:val="24"/>
        </w:rPr>
        <w:t>I</w:t>
      </w:r>
      <w:r w:rsidRPr="00236EF3">
        <w:rPr>
          <w:rFonts w:ascii="Times New Roman" w:hAnsi="Times New Roman" w:cs="Times New Roman"/>
          <w:b/>
          <w:bCs/>
          <w:sz w:val="24"/>
          <w:szCs w:val="24"/>
        </w:rPr>
        <w:t xml:space="preserve">MPLEMENTING </w:t>
      </w:r>
      <w:r w:rsidR="005F2B35" w:rsidRPr="00236EF3">
        <w:rPr>
          <w:rFonts w:ascii="Times New Roman" w:hAnsi="Times New Roman" w:cs="Times New Roman"/>
          <w:b/>
          <w:bCs/>
          <w:sz w:val="24"/>
          <w:szCs w:val="24"/>
        </w:rPr>
        <w:t>P</w:t>
      </w:r>
      <w:r w:rsidRPr="00236EF3">
        <w:rPr>
          <w:rFonts w:ascii="Times New Roman" w:hAnsi="Times New Roman" w:cs="Times New Roman"/>
          <w:b/>
          <w:bCs/>
          <w:sz w:val="24"/>
          <w:szCs w:val="24"/>
        </w:rPr>
        <w:t xml:space="preserve">ARTNERS UNDER THE </w:t>
      </w:r>
      <w:r w:rsidR="00A54140">
        <w:rPr>
          <w:rFonts w:ascii="Times New Roman" w:hAnsi="Times New Roman" w:cs="Times New Roman"/>
          <w:b/>
          <w:bCs/>
          <w:sz w:val="24"/>
          <w:szCs w:val="24"/>
        </w:rPr>
        <w:t xml:space="preserve">EUROPEAN DEFENCE </w:t>
      </w:r>
      <w:r w:rsidRPr="00236EF3">
        <w:rPr>
          <w:rFonts w:ascii="Times New Roman" w:hAnsi="Times New Roman" w:cs="Times New Roman"/>
          <w:b/>
          <w:bCs/>
          <w:sz w:val="24"/>
          <w:szCs w:val="24"/>
        </w:rPr>
        <w:t>FUND</w:t>
      </w:r>
    </w:p>
    <w:p w14:paraId="12C0853F" w14:textId="77777777" w:rsidR="00FF2ED7" w:rsidRDefault="00FF2ED7" w:rsidP="00EA632C">
      <w:pPr>
        <w:pStyle w:val="Heading1"/>
        <w:spacing w:before="360"/>
        <w:ind w:left="431" w:hanging="431"/>
        <w:rPr>
          <w:sz w:val="24"/>
          <w:szCs w:val="24"/>
        </w:rPr>
      </w:pPr>
      <w:bookmarkStart w:id="0" w:name="_Toc68877354"/>
      <w:r w:rsidRPr="00265B8C">
        <w:rPr>
          <w:sz w:val="24"/>
          <w:szCs w:val="24"/>
        </w:rPr>
        <w:t>Introduction</w:t>
      </w:r>
      <w:bookmarkEnd w:id="0"/>
    </w:p>
    <w:p w14:paraId="7EC47FD9" w14:textId="77777777" w:rsidR="007321F1" w:rsidRDefault="0045512D" w:rsidP="00580D44">
      <w:pPr>
        <w:spacing w:before="120"/>
        <w:jc w:val="both"/>
        <w:rPr>
          <w:rFonts w:ascii="Times New Roman" w:hAnsi="Times New Roman" w:cs="Times New Roman"/>
          <w:sz w:val="24"/>
          <w:szCs w:val="24"/>
        </w:rPr>
      </w:pPr>
      <w:r w:rsidRPr="00236EF3">
        <w:rPr>
          <w:rFonts w:ascii="Times New Roman" w:hAnsi="Times New Roman" w:cs="Times New Roman"/>
          <w:sz w:val="24"/>
          <w:szCs w:val="24"/>
        </w:rPr>
        <w:t xml:space="preserve">The objective of this Call for Expression of Interest </w:t>
      </w:r>
      <w:r w:rsidR="00645F45" w:rsidRPr="00236EF3">
        <w:rPr>
          <w:rFonts w:ascii="Times New Roman" w:hAnsi="Times New Roman" w:cs="Times New Roman"/>
          <w:sz w:val="24"/>
          <w:szCs w:val="24"/>
        </w:rPr>
        <w:t xml:space="preserve">(the “Call”) </w:t>
      </w:r>
      <w:r w:rsidRPr="00236EF3">
        <w:rPr>
          <w:rFonts w:ascii="Times New Roman" w:hAnsi="Times New Roman" w:cs="Times New Roman"/>
          <w:sz w:val="24"/>
          <w:szCs w:val="24"/>
        </w:rPr>
        <w:t xml:space="preserve">is to </w:t>
      </w:r>
      <w:r w:rsidRPr="00C175CC">
        <w:rPr>
          <w:rFonts w:ascii="Times New Roman" w:hAnsi="Times New Roman" w:cs="Times New Roman"/>
          <w:b/>
          <w:sz w:val="24"/>
          <w:szCs w:val="24"/>
        </w:rPr>
        <w:t xml:space="preserve">select </w:t>
      </w:r>
      <w:r w:rsidR="00A54140" w:rsidRPr="00580D44">
        <w:rPr>
          <w:rFonts w:ascii="Times New Roman" w:hAnsi="Times New Roman" w:cs="Times New Roman"/>
          <w:b/>
          <w:sz w:val="24"/>
          <w:szCs w:val="24"/>
          <w:u w:val="single"/>
        </w:rPr>
        <w:t xml:space="preserve">potential </w:t>
      </w:r>
      <w:r w:rsidR="00457139" w:rsidRPr="00C175CC">
        <w:rPr>
          <w:rFonts w:ascii="Times New Roman" w:hAnsi="Times New Roman" w:cs="Times New Roman"/>
          <w:b/>
          <w:sz w:val="24"/>
          <w:szCs w:val="24"/>
        </w:rPr>
        <w:t>i</w:t>
      </w:r>
      <w:r w:rsidR="008A5908" w:rsidRPr="00C175CC">
        <w:rPr>
          <w:rFonts w:ascii="Times New Roman" w:hAnsi="Times New Roman" w:cs="Times New Roman"/>
          <w:b/>
          <w:sz w:val="24"/>
          <w:szCs w:val="24"/>
        </w:rPr>
        <w:t xml:space="preserve">mplementing </w:t>
      </w:r>
      <w:r w:rsidR="00457139" w:rsidRPr="00C175CC">
        <w:rPr>
          <w:rFonts w:ascii="Times New Roman" w:hAnsi="Times New Roman" w:cs="Times New Roman"/>
          <w:b/>
          <w:sz w:val="24"/>
          <w:szCs w:val="24"/>
        </w:rPr>
        <w:t>p</w:t>
      </w:r>
      <w:r w:rsidR="008A5908" w:rsidRPr="00C175CC">
        <w:rPr>
          <w:rFonts w:ascii="Times New Roman" w:hAnsi="Times New Roman" w:cs="Times New Roman"/>
          <w:b/>
          <w:sz w:val="24"/>
          <w:szCs w:val="24"/>
        </w:rPr>
        <w:t>artners</w:t>
      </w:r>
      <w:r w:rsidR="004B1593" w:rsidRPr="00236EF3">
        <w:rPr>
          <w:rFonts w:ascii="Times New Roman" w:hAnsi="Times New Roman" w:cs="Times New Roman"/>
          <w:sz w:val="24"/>
          <w:szCs w:val="24"/>
        </w:rPr>
        <w:t xml:space="preserve"> </w:t>
      </w:r>
      <w:r w:rsidR="007B034C" w:rsidRPr="00236EF3">
        <w:rPr>
          <w:rFonts w:ascii="Times New Roman" w:hAnsi="Times New Roman" w:cs="Times New Roman"/>
          <w:sz w:val="24"/>
          <w:szCs w:val="24"/>
        </w:rPr>
        <w:t xml:space="preserve">under Regulation </w:t>
      </w:r>
      <w:r w:rsidR="00B605FA" w:rsidRPr="00236EF3">
        <w:rPr>
          <w:rFonts w:ascii="Times New Roman" w:hAnsi="Times New Roman" w:cs="Times New Roman"/>
          <w:sz w:val="24"/>
          <w:szCs w:val="24"/>
        </w:rPr>
        <w:t>(EU</w:t>
      </w:r>
      <w:r w:rsidR="00B605FA">
        <w:rPr>
          <w:rFonts w:ascii="Times New Roman" w:hAnsi="Times New Roman" w:cs="Times New Roman"/>
          <w:sz w:val="24"/>
          <w:szCs w:val="24"/>
        </w:rPr>
        <w:t xml:space="preserve">) </w:t>
      </w:r>
      <w:r w:rsidR="00A54140">
        <w:rPr>
          <w:rFonts w:ascii="Times New Roman" w:hAnsi="Times New Roman" w:cs="Times New Roman"/>
          <w:sz w:val="24"/>
          <w:szCs w:val="24"/>
        </w:rPr>
        <w:t>2021/697</w:t>
      </w:r>
      <w:r w:rsidR="00580D44">
        <w:rPr>
          <w:rFonts w:ascii="Times New Roman" w:hAnsi="Times New Roman" w:cs="Times New Roman"/>
          <w:sz w:val="24"/>
          <w:szCs w:val="24"/>
        </w:rPr>
        <w:t xml:space="preserve"> </w:t>
      </w:r>
      <w:r w:rsidR="007B034C">
        <w:rPr>
          <w:rFonts w:ascii="Times New Roman" w:hAnsi="Times New Roman" w:cs="Times New Roman"/>
          <w:sz w:val="24"/>
          <w:szCs w:val="24"/>
        </w:rPr>
        <w:t>of the European</w:t>
      </w:r>
      <w:r w:rsidR="00175E46">
        <w:rPr>
          <w:rFonts w:ascii="Times New Roman" w:hAnsi="Times New Roman" w:cs="Times New Roman"/>
          <w:sz w:val="24"/>
          <w:szCs w:val="24"/>
        </w:rPr>
        <w:t xml:space="preserve"> </w:t>
      </w:r>
      <w:r w:rsidR="007B034C">
        <w:rPr>
          <w:rFonts w:ascii="Times New Roman" w:hAnsi="Times New Roman" w:cs="Times New Roman"/>
          <w:sz w:val="24"/>
          <w:szCs w:val="24"/>
        </w:rPr>
        <w:t>Parliament and of the Council</w:t>
      </w:r>
      <w:r w:rsidR="00645F45">
        <w:rPr>
          <w:rFonts w:ascii="Times New Roman" w:hAnsi="Times New Roman" w:cs="Times New Roman"/>
          <w:sz w:val="24"/>
          <w:szCs w:val="24"/>
        </w:rPr>
        <w:t xml:space="preserve"> of </w:t>
      </w:r>
      <w:r w:rsidR="00A54140">
        <w:rPr>
          <w:rFonts w:ascii="Times New Roman" w:hAnsi="Times New Roman" w:cs="Times New Roman"/>
          <w:sz w:val="24"/>
          <w:szCs w:val="24"/>
        </w:rPr>
        <w:t xml:space="preserve">27 April </w:t>
      </w:r>
      <w:r w:rsidR="00645F45">
        <w:rPr>
          <w:rFonts w:ascii="Times New Roman" w:hAnsi="Times New Roman" w:cs="Times New Roman"/>
          <w:sz w:val="24"/>
          <w:szCs w:val="24"/>
        </w:rPr>
        <w:t>2021</w:t>
      </w:r>
      <w:r w:rsidR="007B034C">
        <w:rPr>
          <w:rFonts w:ascii="Times New Roman" w:hAnsi="Times New Roman" w:cs="Times New Roman"/>
          <w:sz w:val="24"/>
          <w:szCs w:val="24"/>
        </w:rPr>
        <w:t xml:space="preserve"> </w:t>
      </w:r>
      <w:r w:rsidR="00405ED5" w:rsidRPr="00405ED5">
        <w:rPr>
          <w:rFonts w:ascii="Times New Roman" w:hAnsi="Times New Roman" w:cs="Times New Roman"/>
          <w:sz w:val="24"/>
          <w:szCs w:val="24"/>
        </w:rPr>
        <w:t>establishing the European Defence Fund and repealing Regulation (EU) 2018/1092</w:t>
      </w:r>
      <w:r w:rsidR="00645F45">
        <w:rPr>
          <w:rFonts w:ascii="Times New Roman" w:hAnsi="Times New Roman" w:cs="Times New Roman"/>
          <w:sz w:val="24"/>
          <w:szCs w:val="24"/>
        </w:rPr>
        <w:t xml:space="preserve"> </w:t>
      </w:r>
      <w:r w:rsidR="00B94B41">
        <w:rPr>
          <w:rFonts w:ascii="Times New Roman" w:hAnsi="Times New Roman" w:cs="Times New Roman"/>
          <w:sz w:val="24"/>
          <w:szCs w:val="24"/>
        </w:rPr>
        <w:t xml:space="preserve">(the </w:t>
      </w:r>
      <w:r w:rsidR="00405ED5">
        <w:rPr>
          <w:rFonts w:ascii="Times New Roman" w:hAnsi="Times New Roman" w:cs="Times New Roman"/>
          <w:sz w:val="24"/>
          <w:szCs w:val="24"/>
        </w:rPr>
        <w:t>‘EDF</w:t>
      </w:r>
      <w:r w:rsidR="00B94B41">
        <w:rPr>
          <w:rFonts w:ascii="Times New Roman" w:hAnsi="Times New Roman" w:cs="Times New Roman"/>
          <w:sz w:val="24"/>
          <w:szCs w:val="24"/>
        </w:rPr>
        <w:t xml:space="preserve"> Regulation”)</w:t>
      </w:r>
      <w:r w:rsidR="00645F45">
        <w:rPr>
          <w:rStyle w:val="FootnoteReference"/>
          <w:rFonts w:ascii="Times New Roman" w:hAnsi="Times New Roman" w:cs="Times New Roman"/>
          <w:sz w:val="24"/>
          <w:szCs w:val="24"/>
        </w:rPr>
        <w:footnoteReference w:id="2"/>
      </w:r>
      <w:r w:rsidR="005E355A">
        <w:rPr>
          <w:rFonts w:ascii="Times New Roman" w:hAnsi="Times New Roman" w:cs="Times New Roman"/>
          <w:sz w:val="24"/>
          <w:szCs w:val="24"/>
        </w:rPr>
        <w:t>.</w:t>
      </w:r>
      <w:r w:rsidR="002166CC">
        <w:rPr>
          <w:rFonts w:ascii="Times New Roman" w:hAnsi="Times New Roman" w:cs="Times New Roman"/>
          <w:sz w:val="24"/>
          <w:szCs w:val="24"/>
        </w:rPr>
        <w:t xml:space="preserve"> </w:t>
      </w:r>
      <w:r w:rsidR="00C815B2">
        <w:rPr>
          <w:rFonts w:ascii="Times New Roman" w:hAnsi="Times New Roman" w:cs="Times New Roman"/>
          <w:sz w:val="24"/>
          <w:szCs w:val="24"/>
        </w:rPr>
        <w:t xml:space="preserve">It </w:t>
      </w:r>
      <w:r w:rsidR="00645F45">
        <w:rPr>
          <w:rFonts w:ascii="Times New Roman" w:hAnsi="Times New Roman" w:cs="Times New Roman"/>
          <w:sz w:val="24"/>
          <w:szCs w:val="24"/>
        </w:rPr>
        <w:t>is addressed to</w:t>
      </w:r>
      <w:r w:rsidR="007B034C">
        <w:rPr>
          <w:rFonts w:ascii="Times New Roman" w:hAnsi="Times New Roman" w:cs="Times New Roman"/>
          <w:sz w:val="24"/>
          <w:szCs w:val="24"/>
        </w:rPr>
        <w:t xml:space="preserve"> potential implementing partners seeking </w:t>
      </w:r>
      <w:r w:rsidR="00354CAF">
        <w:rPr>
          <w:rFonts w:ascii="Times New Roman" w:hAnsi="Times New Roman" w:cs="Times New Roman"/>
          <w:sz w:val="24"/>
          <w:szCs w:val="24"/>
        </w:rPr>
        <w:t xml:space="preserve">to </w:t>
      </w:r>
      <w:r w:rsidR="00405ED5">
        <w:rPr>
          <w:rFonts w:ascii="Times New Roman" w:hAnsi="Times New Roman" w:cs="Times New Roman"/>
          <w:sz w:val="24"/>
          <w:szCs w:val="24"/>
        </w:rPr>
        <w:t xml:space="preserve">manage EDF funded actions </w:t>
      </w:r>
      <w:r w:rsidR="002166CC">
        <w:rPr>
          <w:rFonts w:ascii="Times New Roman" w:hAnsi="Times New Roman" w:cs="Times New Roman"/>
          <w:sz w:val="24"/>
          <w:szCs w:val="24"/>
        </w:rPr>
        <w:t>contributing to objectives specified in</w:t>
      </w:r>
      <w:r w:rsidR="008007DC">
        <w:rPr>
          <w:rFonts w:ascii="Times New Roman" w:hAnsi="Times New Roman" w:cs="Times New Roman"/>
          <w:sz w:val="24"/>
          <w:szCs w:val="24"/>
        </w:rPr>
        <w:t xml:space="preserve"> Article 3 of the</w:t>
      </w:r>
      <w:r w:rsidR="00405ED5">
        <w:rPr>
          <w:rFonts w:ascii="Times New Roman" w:hAnsi="Times New Roman" w:cs="Times New Roman"/>
          <w:sz w:val="24"/>
          <w:szCs w:val="24"/>
        </w:rPr>
        <w:t xml:space="preserve"> EDF</w:t>
      </w:r>
      <w:r w:rsidR="008007DC">
        <w:rPr>
          <w:rFonts w:ascii="Times New Roman" w:hAnsi="Times New Roman" w:cs="Times New Roman"/>
          <w:sz w:val="24"/>
          <w:szCs w:val="24"/>
        </w:rPr>
        <w:t xml:space="preserve"> Regulation</w:t>
      </w:r>
      <w:r w:rsidR="00405ED5">
        <w:rPr>
          <w:rFonts w:ascii="Times New Roman" w:hAnsi="Times New Roman" w:cs="Times New Roman"/>
          <w:sz w:val="24"/>
          <w:szCs w:val="24"/>
        </w:rPr>
        <w:t xml:space="preserve"> and within the scope </w:t>
      </w:r>
      <w:r w:rsidR="008F0809">
        <w:rPr>
          <w:rFonts w:ascii="Times New Roman" w:hAnsi="Times New Roman" w:cs="Times New Roman"/>
          <w:sz w:val="24"/>
          <w:szCs w:val="24"/>
        </w:rPr>
        <w:t xml:space="preserve">and conditions </w:t>
      </w:r>
      <w:r w:rsidR="00405ED5">
        <w:rPr>
          <w:rFonts w:ascii="Times New Roman" w:hAnsi="Times New Roman" w:cs="Times New Roman"/>
          <w:sz w:val="24"/>
          <w:szCs w:val="24"/>
        </w:rPr>
        <w:t xml:space="preserve">of indirect management set out in </w:t>
      </w:r>
      <w:r w:rsidR="00C175CC">
        <w:rPr>
          <w:rFonts w:ascii="Times New Roman" w:hAnsi="Times New Roman" w:cs="Times New Roman"/>
          <w:sz w:val="24"/>
          <w:szCs w:val="24"/>
        </w:rPr>
        <w:t xml:space="preserve">its </w:t>
      </w:r>
      <w:r w:rsidR="00405ED5">
        <w:rPr>
          <w:rFonts w:ascii="Times New Roman" w:hAnsi="Times New Roman" w:cs="Times New Roman"/>
          <w:sz w:val="24"/>
          <w:szCs w:val="24"/>
        </w:rPr>
        <w:t xml:space="preserve">Article </w:t>
      </w:r>
      <w:r w:rsidR="00C175CC">
        <w:rPr>
          <w:rFonts w:ascii="Times New Roman" w:hAnsi="Times New Roman" w:cs="Times New Roman"/>
          <w:sz w:val="24"/>
          <w:szCs w:val="24"/>
        </w:rPr>
        <w:t>8.</w:t>
      </w:r>
    </w:p>
    <w:p w14:paraId="5369B05A" w14:textId="73832404" w:rsidR="0087731C" w:rsidRDefault="00C175CC" w:rsidP="001D1FAF">
      <w:pPr>
        <w:tabs>
          <w:tab w:val="left" w:pos="0"/>
        </w:tabs>
        <w:spacing w:after="240"/>
        <w:jc w:val="both"/>
        <w:rPr>
          <w:rFonts w:ascii="Times New Roman" w:hAnsi="Times New Roman" w:cs="Times New Roman"/>
          <w:sz w:val="24"/>
          <w:szCs w:val="24"/>
        </w:rPr>
      </w:pPr>
      <w:r>
        <w:rPr>
          <w:rFonts w:ascii="Times New Roman" w:hAnsi="Times New Roman" w:cs="Times New Roman"/>
          <w:sz w:val="24"/>
          <w:szCs w:val="24"/>
        </w:rPr>
        <w:t xml:space="preserve">Considering the eligibility provisions of the Financial Regulation and of the EDF </w:t>
      </w:r>
      <w:r w:rsidR="008F0809">
        <w:rPr>
          <w:rFonts w:ascii="Times New Roman" w:hAnsi="Times New Roman" w:cs="Times New Roman"/>
          <w:sz w:val="24"/>
          <w:szCs w:val="24"/>
        </w:rPr>
        <w:t>R</w:t>
      </w:r>
      <w:r>
        <w:rPr>
          <w:rFonts w:ascii="Times New Roman" w:hAnsi="Times New Roman" w:cs="Times New Roman"/>
          <w:sz w:val="24"/>
          <w:szCs w:val="24"/>
        </w:rPr>
        <w:t>egulation</w:t>
      </w:r>
      <w:r w:rsidR="00580D44">
        <w:rPr>
          <w:rFonts w:ascii="Times New Roman" w:hAnsi="Times New Roman" w:cs="Times New Roman"/>
          <w:sz w:val="24"/>
          <w:szCs w:val="24"/>
        </w:rPr>
        <w:t>,</w:t>
      </w:r>
      <w:r>
        <w:rPr>
          <w:rFonts w:ascii="Times New Roman" w:hAnsi="Times New Roman" w:cs="Times New Roman"/>
          <w:sz w:val="24"/>
          <w:szCs w:val="24"/>
        </w:rPr>
        <w:t xml:space="preserve"> as well as the </w:t>
      </w:r>
      <w:r w:rsidR="00580D44">
        <w:rPr>
          <w:rFonts w:ascii="Times New Roman" w:hAnsi="Times New Roman" w:cs="Times New Roman"/>
          <w:sz w:val="24"/>
          <w:szCs w:val="24"/>
        </w:rPr>
        <w:t xml:space="preserve">specificities of the defence </w:t>
      </w:r>
      <w:r>
        <w:rPr>
          <w:rFonts w:ascii="Times New Roman" w:hAnsi="Times New Roman" w:cs="Times New Roman"/>
          <w:sz w:val="24"/>
          <w:szCs w:val="24"/>
        </w:rPr>
        <w:t>sector</w:t>
      </w:r>
      <w:r w:rsidR="00580D4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C175CC">
        <w:rPr>
          <w:rFonts w:ascii="Times New Roman" w:hAnsi="Times New Roman" w:cs="Times New Roman"/>
          <w:b/>
          <w:sz w:val="24"/>
          <w:szCs w:val="24"/>
        </w:rPr>
        <w:t>the Call is restricted</w:t>
      </w:r>
      <w:r>
        <w:rPr>
          <w:rFonts w:ascii="Times New Roman" w:hAnsi="Times New Roman" w:cs="Times New Roman"/>
          <w:sz w:val="24"/>
          <w:szCs w:val="24"/>
        </w:rPr>
        <w:t xml:space="preserve"> </w:t>
      </w:r>
      <w:r w:rsidR="00A04952">
        <w:rPr>
          <w:rFonts w:ascii="Times New Roman" w:hAnsi="Times New Roman" w:cs="Times New Roman"/>
          <w:sz w:val="24"/>
          <w:szCs w:val="24"/>
        </w:rPr>
        <w:t xml:space="preserve">to </w:t>
      </w:r>
      <w:r w:rsidR="00580D44">
        <w:rPr>
          <w:rFonts w:ascii="Times New Roman" w:hAnsi="Times New Roman" w:cs="Times New Roman"/>
          <w:sz w:val="24"/>
          <w:szCs w:val="24"/>
        </w:rPr>
        <w:t xml:space="preserve">the </w:t>
      </w:r>
      <w:r>
        <w:rPr>
          <w:rFonts w:ascii="Times New Roman" w:hAnsi="Times New Roman" w:cs="Times New Roman"/>
          <w:sz w:val="24"/>
          <w:szCs w:val="24"/>
        </w:rPr>
        <w:t xml:space="preserve">entities </w:t>
      </w:r>
      <w:r w:rsidR="00580D44">
        <w:rPr>
          <w:rFonts w:ascii="Times New Roman" w:hAnsi="Times New Roman" w:cs="Times New Roman"/>
          <w:sz w:val="24"/>
          <w:szCs w:val="24"/>
        </w:rPr>
        <w:t>described b</w:t>
      </w:r>
      <w:r>
        <w:rPr>
          <w:rFonts w:ascii="Times New Roman" w:hAnsi="Times New Roman" w:cs="Times New Roman"/>
          <w:sz w:val="24"/>
          <w:szCs w:val="24"/>
        </w:rPr>
        <w:t>elow.</w:t>
      </w:r>
    </w:p>
    <w:p w14:paraId="189F44BD" w14:textId="77777777" w:rsidR="00822F5B" w:rsidRDefault="00FF2ED7" w:rsidP="00265B8C">
      <w:pPr>
        <w:pStyle w:val="Heading1"/>
        <w:rPr>
          <w:sz w:val="24"/>
          <w:szCs w:val="24"/>
        </w:rPr>
      </w:pPr>
      <w:bookmarkStart w:id="1" w:name="_Toc68877355"/>
      <w:r w:rsidRPr="00265B8C">
        <w:rPr>
          <w:sz w:val="24"/>
          <w:szCs w:val="24"/>
        </w:rPr>
        <w:t xml:space="preserve">The </w:t>
      </w:r>
      <w:r w:rsidR="00C175CC">
        <w:rPr>
          <w:sz w:val="24"/>
          <w:szCs w:val="24"/>
        </w:rPr>
        <w:t>European Defence Programme</w:t>
      </w:r>
      <w:bookmarkEnd w:id="1"/>
    </w:p>
    <w:p w14:paraId="311CCA8C" w14:textId="77777777" w:rsidR="00FF2ED7" w:rsidRPr="00FC1951" w:rsidRDefault="00FF2ED7" w:rsidP="00EB3A07">
      <w:pPr>
        <w:spacing w:before="240"/>
        <w:jc w:val="both"/>
        <w:rPr>
          <w:rFonts w:ascii="Times New Roman" w:hAnsi="Times New Roman" w:cs="Times New Roman"/>
          <w:sz w:val="24"/>
          <w:szCs w:val="24"/>
        </w:rPr>
      </w:pPr>
      <w:r w:rsidRPr="00FC1951">
        <w:rPr>
          <w:rFonts w:ascii="Times New Roman" w:hAnsi="Times New Roman" w:cs="Times New Roman"/>
          <w:sz w:val="24"/>
          <w:szCs w:val="24"/>
        </w:rPr>
        <w:t xml:space="preserve">The general objective of the </w:t>
      </w:r>
      <w:r w:rsidR="00C175CC">
        <w:rPr>
          <w:rFonts w:ascii="Times New Roman" w:hAnsi="Times New Roman" w:cs="Times New Roman"/>
          <w:sz w:val="24"/>
          <w:szCs w:val="24"/>
        </w:rPr>
        <w:t xml:space="preserve">EDF </w:t>
      </w:r>
      <w:r w:rsidRPr="00FC1951">
        <w:rPr>
          <w:rFonts w:ascii="Times New Roman" w:hAnsi="Times New Roman" w:cs="Times New Roman"/>
          <w:sz w:val="24"/>
          <w:szCs w:val="24"/>
        </w:rPr>
        <w:t xml:space="preserve">is to </w:t>
      </w:r>
      <w:r w:rsidR="00C175CC" w:rsidRPr="00C175CC">
        <w:rPr>
          <w:rFonts w:ascii="Times New Roman" w:hAnsi="Times New Roman" w:cs="Times New Roman"/>
          <w:sz w:val="24"/>
          <w:szCs w:val="24"/>
        </w:rPr>
        <w:t>foster the competitiveness, efficiency and innovation capacity of the European defence technological and industrial base (EDTIB) throughout the Union, which contributes to the Union strategic autonomy and its freedom of action</w:t>
      </w:r>
      <w:r w:rsidR="00EB3A07">
        <w:rPr>
          <w:rFonts w:ascii="Times New Roman" w:hAnsi="Times New Roman" w:cs="Times New Roman"/>
          <w:sz w:val="24"/>
          <w:szCs w:val="24"/>
        </w:rPr>
        <w:t>. This should be achieved</w:t>
      </w:r>
      <w:r w:rsidR="00C175CC" w:rsidRPr="00C175CC">
        <w:rPr>
          <w:rFonts w:ascii="Times New Roman" w:hAnsi="Times New Roman" w:cs="Times New Roman"/>
          <w:sz w:val="24"/>
          <w:szCs w:val="24"/>
        </w:rPr>
        <w:t xml:space="preserve"> by supporting collaborative actions and cross-border cooperation between legal entities throughout the Union, in particular SMEs and mid-caps, as well as by strengthening and improving the agility of both defence supply and value chains, widening cross-border cooperation between legal entities and fostering the better exploitation of the industrial potential of innovation, research and technological development, at each stage of the industrial life cycle of defence products and technologies</w:t>
      </w:r>
      <w:r w:rsidR="00EB3A07">
        <w:rPr>
          <w:rFonts w:ascii="Times New Roman" w:hAnsi="Times New Roman" w:cs="Times New Roman"/>
          <w:sz w:val="24"/>
          <w:szCs w:val="24"/>
        </w:rPr>
        <w:t>.</w:t>
      </w:r>
    </w:p>
    <w:p w14:paraId="38932611" w14:textId="77777777" w:rsidR="00EB3A07" w:rsidRDefault="00EB3A07" w:rsidP="00EA632C">
      <w:pPr>
        <w:spacing w:after="120"/>
        <w:jc w:val="both"/>
        <w:rPr>
          <w:rFonts w:ascii="Times New Roman" w:hAnsi="Times New Roman" w:cs="Times New Roman"/>
          <w:sz w:val="24"/>
          <w:szCs w:val="24"/>
        </w:rPr>
      </w:pPr>
      <w:r w:rsidRPr="00236EF3">
        <w:rPr>
          <w:rFonts w:ascii="Times New Roman" w:hAnsi="Times New Roman" w:cs="Times New Roman"/>
          <w:sz w:val="24"/>
          <w:szCs w:val="24"/>
        </w:rPr>
        <w:t xml:space="preserve">The </w:t>
      </w:r>
      <w:r>
        <w:rPr>
          <w:rFonts w:ascii="Times New Roman" w:hAnsi="Times New Roman" w:cs="Times New Roman"/>
          <w:sz w:val="24"/>
          <w:szCs w:val="24"/>
        </w:rPr>
        <w:t xml:space="preserve">EDF </w:t>
      </w:r>
      <w:r w:rsidRPr="00236EF3">
        <w:rPr>
          <w:rFonts w:ascii="Times New Roman" w:hAnsi="Times New Roman" w:cs="Times New Roman"/>
          <w:sz w:val="24"/>
          <w:szCs w:val="24"/>
        </w:rPr>
        <w:t>comprises</w:t>
      </w:r>
      <w:r w:rsidRPr="1D118AD6">
        <w:rPr>
          <w:rFonts w:ascii="Times New Roman" w:hAnsi="Times New Roman" w:cs="Times New Roman"/>
          <w:sz w:val="24"/>
          <w:szCs w:val="24"/>
        </w:rPr>
        <w:t>:</w:t>
      </w:r>
    </w:p>
    <w:p w14:paraId="00281F6A" w14:textId="7377A1D5" w:rsidR="00EB3A07" w:rsidRDefault="00EB3A07" w:rsidP="00EA632C">
      <w:pPr>
        <w:pStyle w:val="ListParagraph"/>
        <w:numPr>
          <w:ilvl w:val="0"/>
          <w:numId w:val="2"/>
        </w:numPr>
        <w:spacing w:after="60" w:line="264" w:lineRule="auto"/>
        <w:ind w:left="782" w:hanging="357"/>
        <w:contextualSpacing w:val="0"/>
        <w:jc w:val="both"/>
        <w:rPr>
          <w:rFonts w:ascii="Times New Roman" w:hAnsi="Times New Roman" w:cs="Times New Roman"/>
          <w:sz w:val="24"/>
          <w:szCs w:val="24"/>
        </w:rPr>
      </w:pPr>
      <w:r w:rsidRPr="00EB3A07">
        <w:rPr>
          <w:rFonts w:ascii="Times New Roman" w:hAnsi="Times New Roman" w:cs="Times New Roman"/>
          <w:sz w:val="24"/>
          <w:szCs w:val="24"/>
        </w:rPr>
        <w:t xml:space="preserve">A research window, </w:t>
      </w:r>
      <w:r w:rsidR="008F0809">
        <w:rPr>
          <w:rFonts w:ascii="Times New Roman" w:hAnsi="Times New Roman" w:cs="Times New Roman"/>
          <w:sz w:val="24"/>
          <w:szCs w:val="24"/>
        </w:rPr>
        <w:t>with the</w:t>
      </w:r>
      <w:r w:rsidRPr="00EB3A07">
        <w:rPr>
          <w:rFonts w:ascii="Times New Roman" w:hAnsi="Times New Roman" w:cs="Times New Roman"/>
          <w:sz w:val="24"/>
          <w:szCs w:val="24"/>
        </w:rPr>
        <w:t xml:space="preserve"> specific objective to support collaborative research that could significantly boost the performance of future capabilities throughout the  Union, aiming to maximise innovation and introduce new defence products and technologies, including disruptive technologies for defence, and aiming to make the most efficient use of defence research spending in the Union;</w:t>
      </w:r>
    </w:p>
    <w:p w14:paraId="11249816" w14:textId="7658CA4E" w:rsidR="00EB3A07" w:rsidRPr="00EB3A07" w:rsidRDefault="00EB3A07" w:rsidP="00EA632C">
      <w:pPr>
        <w:pStyle w:val="ListParagraph"/>
        <w:numPr>
          <w:ilvl w:val="0"/>
          <w:numId w:val="2"/>
        </w:numPr>
        <w:spacing w:before="120" w:after="60" w:line="264" w:lineRule="auto"/>
        <w:ind w:left="782" w:hanging="357"/>
        <w:contextualSpacing w:val="0"/>
        <w:jc w:val="both"/>
        <w:rPr>
          <w:rFonts w:ascii="Times New Roman" w:hAnsi="Times New Roman" w:cs="Times New Roman"/>
          <w:sz w:val="24"/>
          <w:szCs w:val="24"/>
        </w:rPr>
      </w:pPr>
      <w:r w:rsidRPr="00EB3A07">
        <w:rPr>
          <w:rFonts w:ascii="Times New Roman" w:hAnsi="Times New Roman" w:cs="Times New Roman"/>
          <w:sz w:val="24"/>
          <w:szCs w:val="24"/>
        </w:rPr>
        <w:t>A capacity window, w</w:t>
      </w:r>
      <w:r w:rsidR="008F0809">
        <w:rPr>
          <w:rFonts w:ascii="Times New Roman" w:hAnsi="Times New Roman" w:cs="Times New Roman"/>
          <w:sz w:val="24"/>
          <w:szCs w:val="24"/>
        </w:rPr>
        <w:t>ith the</w:t>
      </w:r>
      <w:r w:rsidRPr="00EB3A07">
        <w:rPr>
          <w:rFonts w:ascii="Times New Roman" w:hAnsi="Times New Roman" w:cs="Times New Roman"/>
          <w:sz w:val="24"/>
          <w:szCs w:val="24"/>
        </w:rPr>
        <w:t xml:space="preserve"> specific objective to support the collaborative development of defence products and technologies, thus contributing to the greater efficiency of defence spending within the Union, achieving greater economies of scale, reducing the risk of unnecessary duplication and thereby fostering the market uptake of European defence products and technologies and reducing the fragmentation of defence products and technologies throughout the Union, ultimately leading to an increase in the standardisation of defence systems and a greater interoperability between Member States’ capabilities;</w:t>
      </w:r>
    </w:p>
    <w:p w14:paraId="43EB464E" w14:textId="77777777" w:rsidR="00A05AEC" w:rsidRPr="00C175CC" w:rsidRDefault="00B4268C" w:rsidP="00B4268C">
      <w:pPr>
        <w:spacing w:before="240" w:after="120" w:line="264"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reference budget amount over the duration of the EDF (2021-2027) is EUR 7 953 million. The Fund is implemented </w:t>
      </w:r>
      <w:r w:rsidRPr="00B4268C">
        <w:rPr>
          <w:rFonts w:ascii="Times New Roman" w:hAnsi="Times New Roman" w:cs="Times New Roman"/>
          <w:sz w:val="24"/>
          <w:szCs w:val="24"/>
        </w:rPr>
        <w:t>by means of annual work programmes a</w:t>
      </w:r>
      <w:r>
        <w:rPr>
          <w:rFonts w:ascii="Times New Roman" w:hAnsi="Times New Roman" w:cs="Times New Roman"/>
          <w:sz w:val="24"/>
          <w:szCs w:val="24"/>
        </w:rPr>
        <w:t xml:space="preserve">nd </w:t>
      </w:r>
      <w:r w:rsidRPr="00B4268C">
        <w:rPr>
          <w:rFonts w:ascii="Times New Roman" w:hAnsi="Times New Roman" w:cs="Times New Roman"/>
          <w:sz w:val="24"/>
          <w:szCs w:val="24"/>
        </w:rPr>
        <w:t>through grants</w:t>
      </w:r>
      <w:r>
        <w:rPr>
          <w:rFonts w:ascii="Times New Roman" w:hAnsi="Times New Roman" w:cs="Times New Roman"/>
          <w:sz w:val="24"/>
          <w:szCs w:val="24"/>
        </w:rPr>
        <w:t xml:space="preserve"> (mainly)</w:t>
      </w:r>
      <w:r w:rsidRPr="00B4268C">
        <w:rPr>
          <w:rFonts w:ascii="Times New Roman" w:hAnsi="Times New Roman" w:cs="Times New Roman"/>
          <w:sz w:val="24"/>
          <w:szCs w:val="24"/>
        </w:rPr>
        <w:t>, prizes</w:t>
      </w:r>
      <w:r>
        <w:rPr>
          <w:rFonts w:ascii="Times New Roman" w:hAnsi="Times New Roman" w:cs="Times New Roman"/>
          <w:sz w:val="24"/>
          <w:szCs w:val="24"/>
        </w:rPr>
        <w:t>, procurement and,</w:t>
      </w:r>
      <w:r w:rsidRPr="00B4268C">
        <w:rPr>
          <w:rFonts w:ascii="Times New Roman" w:hAnsi="Times New Roman" w:cs="Times New Roman"/>
          <w:sz w:val="24"/>
          <w:szCs w:val="24"/>
        </w:rPr>
        <w:t xml:space="preserve"> where appropriate in view of the specificities of the action, financial instruments within blending operations.</w:t>
      </w:r>
    </w:p>
    <w:p w14:paraId="33F4EEA9" w14:textId="77777777" w:rsidR="00FF2ED7" w:rsidRDefault="00B4268C" w:rsidP="00B4268C">
      <w:pPr>
        <w:jc w:val="both"/>
        <w:rPr>
          <w:rFonts w:ascii="Times New Roman" w:hAnsi="Times New Roman" w:cs="Times New Roman"/>
          <w:sz w:val="24"/>
          <w:szCs w:val="24"/>
        </w:rPr>
      </w:pPr>
      <w:r>
        <w:rPr>
          <w:rFonts w:ascii="Times New Roman" w:hAnsi="Times New Roman" w:cs="Times New Roman"/>
          <w:sz w:val="24"/>
          <w:szCs w:val="24"/>
        </w:rPr>
        <w:t xml:space="preserve">As a rule, the Commission implements the EDF </w:t>
      </w:r>
      <w:r w:rsidRPr="00B4268C">
        <w:rPr>
          <w:rFonts w:ascii="Times New Roman" w:hAnsi="Times New Roman" w:cs="Times New Roman"/>
          <w:sz w:val="24"/>
          <w:szCs w:val="24"/>
        </w:rPr>
        <w:t>under direct management in accordance with the Financial Regulation.</w:t>
      </w:r>
      <w:r>
        <w:rPr>
          <w:rFonts w:ascii="Times New Roman" w:hAnsi="Times New Roman" w:cs="Times New Roman"/>
          <w:sz w:val="24"/>
          <w:szCs w:val="24"/>
        </w:rPr>
        <w:t xml:space="preserve"> However, Article 8.2 of the EDF Regulation foresees that </w:t>
      </w:r>
      <w:r w:rsidRPr="00B4268C">
        <w:rPr>
          <w:rFonts w:ascii="Times New Roman" w:hAnsi="Times New Roman" w:cs="Times New Roman"/>
          <w:sz w:val="24"/>
          <w:szCs w:val="24"/>
        </w:rPr>
        <w:t xml:space="preserve">specific actions may, in substantiated cases, be carried out under indirect management by bodies referred to in point (c) of Article 62(1) of the Financial Regulation. </w:t>
      </w:r>
      <w:r w:rsidR="00E61BF9">
        <w:rPr>
          <w:rFonts w:ascii="Times New Roman" w:hAnsi="Times New Roman" w:cs="Times New Roman"/>
          <w:sz w:val="24"/>
          <w:szCs w:val="24"/>
        </w:rPr>
        <w:t xml:space="preserve">In addition, where </w:t>
      </w:r>
      <w:r w:rsidR="00E10B4F">
        <w:rPr>
          <w:rFonts w:ascii="Times New Roman" w:hAnsi="Times New Roman" w:cs="Times New Roman"/>
          <w:sz w:val="24"/>
          <w:szCs w:val="24"/>
        </w:rPr>
        <w:t>the Commission chooses indirect management mode</w:t>
      </w:r>
      <w:r w:rsidR="00E61BF9">
        <w:rPr>
          <w:rFonts w:ascii="Times New Roman" w:hAnsi="Times New Roman" w:cs="Times New Roman"/>
          <w:sz w:val="24"/>
          <w:szCs w:val="24"/>
        </w:rPr>
        <w:t xml:space="preserve">, the entrustment of tasks to an implementing partner cannot </w:t>
      </w:r>
      <w:r w:rsidRPr="00B4268C">
        <w:rPr>
          <w:rFonts w:ascii="Times New Roman" w:hAnsi="Times New Roman" w:cs="Times New Roman"/>
          <w:sz w:val="24"/>
          <w:szCs w:val="24"/>
        </w:rPr>
        <w:t>include th</w:t>
      </w:r>
      <w:r w:rsidR="00E61BF9">
        <w:rPr>
          <w:rFonts w:ascii="Times New Roman" w:hAnsi="Times New Roman" w:cs="Times New Roman"/>
          <w:sz w:val="24"/>
          <w:szCs w:val="24"/>
        </w:rPr>
        <w:t>e selection and award procedure.</w:t>
      </w:r>
    </w:p>
    <w:p w14:paraId="56749871" w14:textId="77777777" w:rsidR="005E5178" w:rsidRPr="00265B8C" w:rsidRDefault="00C75C79" w:rsidP="003E7655">
      <w:pPr>
        <w:pStyle w:val="Heading1"/>
        <w:ind w:left="431" w:hanging="431"/>
        <w:rPr>
          <w:sz w:val="24"/>
          <w:szCs w:val="24"/>
        </w:rPr>
      </w:pPr>
      <w:bookmarkStart w:id="2" w:name="_Toc68877356"/>
      <w:r w:rsidRPr="00265B8C">
        <w:rPr>
          <w:sz w:val="24"/>
          <w:szCs w:val="24"/>
        </w:rPr>
        <w:t>Terms of the Call</w:t>
      </w:r>
      <w:bookmarkEnd w:id="2"/>
      <w:r w:rsidR="008F0809">
        <w:rPr>
          <w:sz w:val="24"/>
          <w:szCs w:val="24"/>
        </w:rPr>
        <w:t xml:space="preserve"> for expression of interest</w:t>
      </w:r>
      <w:r w:rsidRPr="00265B8C">
        <w:rPr>
          <w:sz w:val="24"/>
          <w:szCs w:val="24"/>
        </w:rPr>
        <w:t xml:space="preserve"> </w:t>
      </w:r>
    </w:p>
    <w:p w14:paraId="52091917" w14:textId="77777777" w:rsidR="00C75C79" w:rsidRPr="00A11977" w:rsidRDefault="00C75C79" w:rsidP="00E61BF9">
      <w:pPr>
        <w:pStyle w:val="Heading2"/>
        <w:spacing w:before="120" w:after="120"/>
        <w:ind w:left="431" w:hanging="431"/>
        <w:rPr>
          <w:b/>
          <w:bCs/>
          <w:szCs w:val="24"/>
        </w:rPr>
      </w:pPr>
      <w:bookmarkStart w:id="3" w:name="_Toc68877357"/>
      <w:r w:rsidRPr="00A11977">
        <w:rPr>
          <w:b/>
          <w:bCs/>
          <w:szCs w:val="24"/>
        </w:rPr>
        <w:t xml:space="preserve">Eligible </w:t>
      </w:r>
      <w:r w:rsidR="009171B3" w:rsidRPr="00A11977">
        <w:rPr>
          <w:b/>
          <w:bCs/>
          <w:szCs w:val="24"/>
        </w:rPr>
        <w:t>i</w:t>
      </w:r>
      <w:r w:rsidRPr="00A11977">
        <w:rPr>
          <w:b/>
          <w:bCs/>
          <w:szCs w:val="24"/>
        </w:rPr>
        <w:t xml:space="preserve">mplementing </w:t>
      </w:r>
      <w:r w:rsidR="009171B3" w:rsidRPr="00A11977">
        <w:rPr>
          <w:b/>
          <w:bCs/>
          <w:szCs w:val="24"/>
        </w:rPr>
        <w:t>p</w:t>
      </w:r>
      <w:r w:rsidRPr="00A11977">
        <w:rPr>
          <w:b/>
          <w:bCs/>
          <w:szCs w:val="24"/>
        </w:rPr>
        <w:t>artners</w:t>
      </w:r>
      <w:bookmarkEnd w:id="3"/>
    </w:p>
    <w:p w14:paraId="421472BA" w14:textId="77777777" w:rsidR="00E61BF9" w:rsidRDefault="00E61BF9" w:rsidP="007809FD">
      <w:pPr>
        <w:jc w:val="both"/>
        <w:rPr>
          <w:rFonts w:ascii="Times New Roman" w:hAnsi="Times New Roman" w:cs="Times New Roman"/>
          <w:sz w:val="24"/>
          <w:szCs w:val="24"/>
        </w:rPr>
      </w:pPr>
      <w:r>
        <w:rPr>
          <w:rFonts w:ascii="Times New Roman" w:hAnsi="Times New Roman" w:cs="Times New Roman"/>
          <w:sz w:val="24"/>
          <w:szCs w:val="24"/>
        </w:rPr>
        <w:t>To be eligible as EDF implementing partner, the candidate must:</w:t>
      </w:r>
    </w:p>
    <w:p w14:paraId="25822E93" w14:textId="6271493C" w:rsidR="00AD3EC9" w:rsidRDefault="00E61BF9" w:rsidP="006B79D2">
      <w:pPr>
        <w:pStyle w:val="ListParagraph"/>
        <w:numPr>
          <w:ilvl w:val="0"/>
          <w:numId w:val="2"/>
        </w:numPr>
        <w:spacing w:after="120" w:line="264" w:lineRule="auto"/>
        <w:ind w:left="782"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be </w:t>
      </w:r>
      <w:r w:rsidR="00AD3EC9">
        <w:rPr>
          <w:rFonts w:ascii="Times New Roman" w:hAnsi="Times New Roman" w:cs="Times New Roman"/>
          <w:sz w:val="24"/>
          <w:szCs w:val="24"/>
        </w:rPr>
        <w:t xml:space="preserve">a </w:t>
      </w:r>
      <w:r>
        <w:rPr>
          <w:rFonts w:ascii="Times New Roman" w:hAnsi="Times New Roman" w:cs="Times New Roman"/>
          <w:sz w:val="24"/>
          <w:szCs w:val="24"/>
        </w:rPr>
        <w:t>public law body</w:t>
      </w:r>
      <w:r w:rsidR="00E10B4F">
        <w:rPr>
          <w:rStyle w:val="FootnoteReference"/>
          <w:rFonts w:ascii="Times New Roman" w:hAnsi="Times New Roman" w:cs="Times New Roman"/>
          <w:sz w:val="24"/>
          <w:szCs w:val="24"/>
        </w:rPr>
        <w:footnoteReference w:id="4"/>
      </w:r>
      <w:r w:rsidR="00E10B4F">
        <w:rPr>
          <w:rFonts w:ascii="Times New Roman" w:hAnsi="Times New Roman" w:cs="Times New Roman"/>
          <w:sz w:val="24"/>
          <w:szCs w:val="24"/>
        </w:rPr>
        <w:t>;</w:t>
      </w:r>
      <w:r>
        <w:rPr>
          <w:rFonts w:ascii="Times New Roman" w:hAnsi="Times New Roman" w:cs="Times New Roman"/>
          <w:sz w:val="24"/>
          <w:szCs w:val="24"/>
        </w:rPr>
        <w:t xml:space="preserve"> </w:t>
      </w:r>
      <w:r w:rsidR="00AD3EC9">
        <w:rPr>
          <w:rFonts w:ascii="Times New Roman" w:hAnsi="Times New Roman" w:cs="Times New Roman"/>
          <w:sz w:val="24"/>
          <w:szCs w:val="24"/>
        </w:rPr>
        <w:t>from a Member State of the European</w:t>
      </w:r>
      <w:r w:rsidR="00AD3EC9" w:rsidRPr="00E61BF9">
        <w:rPr>
          <w:rFonts w:ascii="Times New Roman" w:hAnsi="Times New Roman" w:cs="Times New Roman"/>
          <w:sz w:val="24"/>
          <w:szCs w:val="24"/>
        </w:rPr>
        <w:t xml:space="preserve"> </w:t>
      </w:r>
      <w:r w:rsidR="00AD3EC9">
        <w:rPr>
          <w:rFonts w:ascii="Times New Roman" w:hAnsi="Times New Roman" w:cs="Times New Roman"/>
          <w:sz w:val="24"/>
          <w:szCs w:val="24"/>
        </w:rPr>
        <w:t xml:space="preserve">Union or of </w:t>
      </w:r>
      <w:r w:rsidR="008F0809">
        <w:rPr>
          <w:rFonts w:ascii="Times New Roman" w:hAnsi="Times New Roman" w:cs="Times New Roman"/>
          <w:sz w:val="24"/>
          <w:szCs w:val="24"/>
        </w:rPr>
        <w:t xml:space="preserve">an </w:t>
      </w:r>
      <w:r w:rsidR="00AD3EC9">
        <w:rPr>
          <w:rFonts w:ascii="Times New Roman" w:hAnsi="Times New Roman" w:cs="Times New Roman"/>
          <w:sz w:val="24"/>
          <w:szCs w:val="24"/>
        </w:rPr>
        <w:t xml:space="preserve">EDF </w:t>
      </w:r>
      <w:r w:rsidR="008F0809">
        <w:rPr>
          <w:rFonts w:ascii="Times New Roman" w:hAnsi="Times New Roman" w:cs="Times New Roman"/>
          <w:sz w:val="24"/>
          <w:szCs w:val="24"/>
        </w:rPr>
        <w:t xml:space="preserve">associated </w:t>
      </w:r>
      <w:r w:rsidR="00AD3EC9">
        <w:rPr>
          <w:rFonts w:ascii="Times New Roman" w:hAnsi="Times New Roman" w:cs="Times New Roman"/>
          <w:sz w:val="24"/>
          <w:szCs w:val="24"/>
        </w:rPr>
        <w:t>country</w:t>
      </w:r>
      <w:r w:rsidR="001C1FFD">
        <w:rPr>
          <w:rFonts w:ascii="Times New Roman" w:hAnsi="Times New Roman" w:cs="Times New Roman"/>
          <w:sz w:val="24"/>
          <w:szCs w:val="24"/>
        </w:rPr>
        <w:t xml:space="preserve"> as specified in Article 5 of the EDF Regulation</w:t>
      </w:r>
      <w:r w:rsidR="00A04952">
        <w:rPr>
          <w:rFonts w:ascii="Times New Roman" w:hAnsi="Times New Roman" w:cs="Times New Roman"/>
          <w:sz w:val="24"/>
          <w:szCs w:val="24"/>
        </w:rPr>
        <w:t>;</w:t>
      </w:r>
    </w:p>
    <w:p w14:paraId="0E41918D" w14:textId="0B2A06AD" w:rsidR="00AD3EC9" w:rsidRDefault="00AD3EC9" w:rsidP="006B79D2">
      <w:pPr>
        <w:pStyle w:val="ListParagraph"/>
        <w:numPr>
          <w:ilvl w:val="0"/>
          <w:numId w:val="2"/>
        </w:numPr>
        <w:spacing w:before="120" w:after="120" w:line="264" w:lineRule="auto"/>
        <w:ind w:left="782" w:hanging="357"/>
        <w:contextualSpacing w:val="0"/>
        <w:jc w:val="both"/>
        <w:rPr>
          <w:rFonts w:ascii="Times New Roman" w:hAnsi="Times New Roman" w:cs="Times New Roman"/>
          <w:sz w:val="24"/>
          <w:szCs w:val="24"/>
        </w:rPr>
      </w:pPr>
      <w:r>
        <w:rPr>
          <w:rFonts w:ascii="Times New Roman" w:hAnsi="Times New Roman" w:cs="Times New Roman"/>
          <w:sz w:val="24"/>
          <w:szCs w:val="24"/>
        </w:rPr>
        <w:t>have a</w:t>
      </w:r>
      <w:r w:rsidR="00840049">
        <w:rPr>
          <w:rFonts w:ascii="Times New Roman" w:hAnsi="Times New Roman" w:cs="Times New Roman"/>
          <w:sz w:val="24"/>
          <w:szCs w:val="24"/>
        </w:rPr>
        <w:t>n</w:t>
      </w:r>
      <w:r>
        <w:rPr>
          <w:rFonts w:ascii="Times New Roman" w:hAnsi="Times New Roman" w:cs="Times New Roman"/>
          <w:sz w:val="24"/>
          <w:szCs w:val="24"/>
        </w:rPr>
        <w:t xml:space="preserve"> in depth knowledge of the defence sector and in particular in the management of large cooperative </w:t>
      </w:r>
      <w:r w:rsidR="00A04952">
        <w:rPr>
          <w:rFonts w:ascii="Times New Roman" w:hAnsi="Times New Roman" w:cs="Times New Roman"/>
          <w:sz w:val="24"/>
          <w:szCs w:val="24"/>
        </w:rPr>
        <w:t>action</w:t>
      </w:r>
      <w:r>
        <w:rPr>
          <w:rFonts w:ascii="Times New Roman" w:hAnsi="Times New Roman" w:cs="Times New Roman"/>
          <w:sz w:val="24"/>
          <w:szCs w:val="24"/>
        </w:rPr>
        <w:t xml:space="preserve"> at European or international level.</w:t>
      </w:r>
    </w:p>
    <w:p w14:paraId="04798107" w14:textId="77777777" w:rsidR="00AD3EC9" w:rsidRPr="00AD3EC9" w:rsidRDefault="00AD3EC9" w:rsidP="00AD3EC9">
      <w:pPr>
        <w:spacing w:after="120" w:line="264" w:lineRule="auto"/>
        <w:jc w:val="both"/>
        <w:rPr>
          <w:rFonts w:ascii="Times New Roman" w:hAnsi="Times New Roman" w:cs="Times New Roman"/>
          <w:sz w:val="24"/>
          <w:szCs w:val="24"/>
        </w:rPr>
      </w:pPr>
      <w:r w:rsidRPr="00AD3EC9">
        <w:rPr>
          <w:rFonts w:ascii="Times New Roman" w:hAnsi="Times New Roman" w:cs="Times New Roman"/>
          <w:sz w:val="24"/>
          <w:szCs w:val="24"/>
        </w:rPr>
        <w:t xml:space="preserve">The </w:t>
      </w:r>
      <w:r w:rsidR="00E10B4F" w:rsidRPr="00E10B4F">
        <w:rPr>
          <w:rFonts w:ascii="Times New Roman" w:hAnsi="Times New Roman" w:cs="Times New Roman"/>
          <w:sz w:val="24"/>
          <w:szCs w:val="24"/>
        </w:rPr>
        <w:t>Organisation for Joint Armament Co-operation</w:t>
      </w:r>
      <w:r w:rsidRPr="00AD3EC9">
        <w:rPr>
          <w:rFonts w:ascii="Times New Roman" w:hAnsi="Times New Roman" w:cs="Times New Roman"/>
          <w:sz w:val="24"/>
          <w:szCs w:val="24"/>
        </w:rPr>
        <w:t xml:space="preserve"> </w:t>
      </w:r>
      <w:r w:rsidR="00E10B4F">
        <w:rPr>
          <w:rFonts w:ascii="Times New Roman" w:hAnsi="Times New Roman" w:cs="Times New Roman"/>
          <w:sz w:val="24"/>
          <w:szCs w:val="24"/>
        </w:rPr>
        <w:t>(</w:t>
      </w:r>
      <w:r w:rsidRPr="00AD3EC9">
        <w:rPr>
          <w:rFonts w:ascii="Times New Roman" w:hAnsi="Times New Roman" w:cs="Times New Roman"/>
          <w:sz w:val="24"/>
          <w:szCs w:val="24"/>
        </w:rPr>
        <w:t>OCCAR</w:t>
      </w:r>
      <w:r w:rsidR="00E10B4F">
        <w:rPr>
          <w:rFonts w:ascii="Times New Roman" w:hAnsi="Times New Roman" w:cs="Times New Roman"/>
          <w:sz w:val="24"/>
          <w:szCs w:val="24"/>
        </w:rPr>
        <w:t>)</w:t>
      </w:r>
      <w:r w:rsidRPr="00AD3EC9">
        <w:rPr>
          <w:rFonts w:ascii="Times New Roman" w:hAnsi="Times New Roman" w:cs="Times New Roman"/>
          <w:sz w:val="24"/>
          <w:szCs w:val="24"/>
        </w:rPr>
        <w:t xml:space="preserve"> and the European Defence Agency (EDA) are also eligible</w:t>
      </w:r>
      <w:r w:rsidR="00E10B4F">
        <w:rPr>
          <w:rFonts w:ascii="Times New Roman" w:hAnsi="Times New Roman" w:cs="Times New Roman"/>
          <w:sz w:val="24"/>
          <w:szCs w:val="24"/>
        </w:rPr>
        <w:t>.</w:t>
      </w:r>
    </w:p>
    <w:p w14:paraId="4457A2DD" w14:textId="787FEE26" w:rsidR="003E7655" w:rsidRDefault="00AD3EC9" w:rsidP="00821F73">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T</w:t>
      </w:r>
      <w:r w:rsidR="00A316DD" w:rsidRPr="00AD3EC9">
        <w:rPr>
          <w:rFonts w:ascii="Times New Roman" w:hAnsi="Times New Roman" w:cs="Times New Roman"/>
          <w:sz w:val="24"/>
          <w:szCs w:val="24"/>
        </w:rPr>
        <w:t xml:space="preserve">he eligible </w:t>
      </w:r>
      <w:r>
        <w:rPr>
          <w:rFonts w:ascii="Times New Roman" w:hAnsi="Times New Roman" w:cs="Times New Roman"/>
          <w:sz w:val="24"/>
          <w:szCs w:val="24"/>
        </w:rPr>
        <w:t xml:space="preserve">candidates </w:t>
      </w:r>
      <w:r w:rsidR="00F4379D" w:rsidRPr="00AD3EC9">
        <w:rPr>
          <w:rFonts w:ascii="Times New Roman" w:hAnsi="Times New Roman" w:cs="Times New Roman"/>
          <w:sz w:val="24"/>
          <w:szCs w:val="24"/>
        </w:rPr>
        <w:t xml:space="preserve">are hereby invited to </w:t>
      </w:r>
      <w:r w:rsidR="00A316DD" w:rsidRPr="003E7655">
        <w:rPr>
          <w:rFonts w:ascii="Times New Roman" w:hAnsi="Times New Roman" w:cs="Times New Roman"/>
          <w:b/>
          <w:sz w:val="24"/>
          <w:szCs w:val="24"/>
        </w:rPr>
        <w:t xml:space="preserve">express their interest </w:t>
      </w:r>
      <w:r w:rsidR="00A316DD" w:rsidRPr="00AD3EC9">
        <w:rPr>
          <w:rFonts w:ascii="Times New Roman" w:hAnsi="Times New Roman" w:cs="Times New Roman"/>
          <w:sz w:val="24"/>
          <w:szCs w:val="24"/>
        </w:rPr>
        <w:t xml:space="preserve">in relation to </w:t>
      </w:r>
      <w:r>
        <w:rPr>
          <w:rFonts w:ascii="Times New Roman" w:hAnsi="Times New Roman" w:cs="Times New Roman"/>
          <w:sz w:val="24"/>
          <w:szCs w:val="24"/>
        </w:rPr>
        <w:t xml:space="preserve">the management of EDF funded </w:t>
      </w:r>
      <w:r w:rsidR="00A04952">
        <w:rPr>
          <w:rFonts w:ascii="Times New Roman" w:hAnsi="Times New Roman" w:cs="Times New Roman"/>
          <w:sz w:val="24"/>
          <w:szCs w:val="24"/>
        </w:rPr>
        <w:t>action</w:t>
      </w:r>
      <w:r w:rsidR="003E7655">
        <w:rPr>
          <w:rFonts w:ascii="Times New Roman" w:hAnsi="Times New Roman" w:cs="Times New Roman"/>
          <w:sz w:val="24"/>
          <w:szCs w:val="24"/>
        </w:rPr>
        <w:t>s</w:t>
      </w:r>
      <w:r>
        <w:rPr>
          <w:rFonts w:ascii="Times New Roman" w:hAnsi="Times New Roman" w:cs="Times New Roman"/>
          <w:sz w:val="24"/>
          <w:szCs w:val="24"/>
        </w:rPr>
        <w:t xml:space="preserve"> </w:t>
      </w:r>
      <w:r w:rsidR="003E7655">
        <w:rPr>
          <w:rFonts w:ascii="Times New Roman" w:hAnsi="Times New Roman" w:cs="Times New Roman"/>
          <w:sz w:val="24"/>
          <w:szCs w:val="24"/>
        </w:rPr>
        <w:t>as implementing partners and within the scope for indirect management set out in Article 8.2 of EDF Regulation</w:t>
      </w:r>
      <w:r w:rsidR="00A316DD" w:rsidRPr="00AD3EC9">
        <w:rPr>
          <w:rFonts w:ascii="Times New Roman" w:hAnsi="Times New Roman" w:cs="Times New Roman"/>
          <w:sz w:val="24"/>
          <w:szCs w:val="24"/>
        </w:rPr>
        <w:t>.</w:t>
      </w:r>
      <w:r w:rsidR="00821F73">
        <w:rPr>
          <w:rFonts w:ascii="Times New Roman" w:hAnsi="Times New Roman" w:cs="Times New Roman"/>
          <w:sz w:val="24"/>
          <w:szCs w:val="24"/>
        </w:rPr>
        <w:t xml:space="preserve">  </w:t>
      </w:r>
      <w:r w:rsidR="003E7655" w:rsidRPr="00E10B4F">
        <w:rPr>
          <w:rFonts w:ascii="Times New Roman" w:hAnsi="Times New Roman" w:cs="Times New Roman"/>
          <w:b/>
          <w:sz w:val="24"/>
          <w:szCs w:val="24"/>
        </w:rPr>
        <w:t xml:space="preserve">Interested candidates must fill </w:t>
      </w:r>
      <w:r w:rsidR="008B20A4">
        <w:rPr>
          <w:rFonts w:ascii="Times New Roman" w:hAnsi="Times New Roman" w:cs="Times New Roman"/>
          <w:b/>
          <w:sz w:val="24"/>
          <w:szCs w:val="24"/>
        </w:rPr>
        <w:t xml:space="preserve">in </w:t>
      </w:r>
      <w:r w:rsidR="003E7655" w:rsidRPr="00E10B4F">
        <w:rPr>
          <w:rFonts w:ascii="Times New Roman" w:hAnsi="Times New Roman" w:cs="Times New Roman"/>
          <w:b/>
          <w:sz w:val="24"/>
          <w:szCs w:val="24"/>
        </w:rPr>
        <w:t xml:space="preserve">the </w:t>
      </w:r>
      <w:r w:rsidR="00513AD7">
        <w:rPr>
          <w:rFonts w:ascii="Times New Roman" w:hAnsi="Times New Roman" w:cs="Times New Roman"/>
          <w:b/>
          <w:sz w:val="24"/>
          <w:szCs w:val="24"/>
        </w:rPr>
        <w:t>application</w:t>
      </w:r>
      <w:r w:rsidR="003E7655" w:rsidRPr="00E10B4F">
        <w:rPr>
          <w:rFonts w:ascii="Times New Roman" w:hAnsi="Times New Roman" w:cs="Times New Roman"/>
          <w:b/>
          <w:sz w:val="24"/>
          <w:szCs w:val="24"/>
        </w:rPr>
        <w:t xml:space="preserve"> form annexed to the Call</w:t>
      </w:r>
      <w:r w:rsidR="003E7655">
        <w:rPr>
          <w:rFonts w:ascii="Times New Roman" w:hAnsi="Times New Roman" w:cs="Times New Roman"/>
          <w:sz w:val="24"/>
          <w:szCs w:val="24"/>
        </w:rPr>
        <w:t xml:space="preserve"> on the basis of which the Commission will</w:t>
      </w:r>
      <w:r w:rsidR="00821F73">
        <w:rPr>
          <w:rFonts w:ascii="Times New Roman" w:hAnsi="Times New Roman" w:cs="Times New Roman"/>
          <w:sz w:val="24"/>
          <w:szCs w:val="24"/>
        </w:rPr>
        <w:t xml:space="preserve"> </w:t>
      </w:r>
      <w:r w:rsidR="001C1FFD">
        <w:rPr>
          <w:rFonts w:ascii="Times New Roman" w:hAnsi="Times New Roman" w:cs="Times New Roman"/>
          <w:sz w:val="24"/>
          <w:szCs w:val="24"/>
        </w:rPr>
        <w:t>carry out</w:t>
      </w:r>
      <w:r w:rsidR="00821F73">
        <w:rPr>
          <w:rFonts w:ascii="Times New Roman" w:hAnsi="Times New Roman" w:cs="Times New Roman"/>
          <w:sz w:val="24"/>
          <w:szCs w:val="24"/>
        </w:rPr>
        <w:t xml:space="preserve"> an </w:t>
      </w:r>
      <w:r w:rsidR="00821F73" w:rsidRPr="00E10B4F">
        <w:rPr>
          <w:rFonts w:ascii="Times New Roman" w:hAnsi="Times New Roman" w:cs="Times New Roman"/>
          <w:b/>
          <w:sz w:val="24"/>
          <w:szCs w:val="24"/>
        </w:rPr>
        <w:t>eligibility check</w:t>
      </w:r>
      <w:r w:rsidR="00821F73">
        <w:rPr>
          <w:rFonts w:ascii="Times New Roman" w:hAnsi="Times New Roman" w:cs="Times New Roman"/>
          <w:sz w:val="24"/>
          <w:szCs w:val="24"/>
        </w:rPr>
        <w:t>.</w:t>
      </w:r>
    </w:p>
    <w:p w14:paraId="710FD066" w14:textId="5B9AF40A" w:rsidR="00B815F6" w:rsidRDefault="00B815F6" w:rsidP="00821F73">
      <w:pPr>
        <w:spacing w:after="120" w:line="264" w:lineRule="auto"/>
        <w:jc w:val="both"/>
        <w:rPr>
          <w:rFonts w:ascii="Times New Roman" w:hAnsi="Times New Roman" w:cs="Times New Roman"/>
          <w:sz w:val="24"/>
          <w:szCs w:val="24"/>
        </w:rPr>
      </w:pPr>
      <w:r>
        <w:rPr>
          <w:rFonts w:ascii="Times New Roman" w:hAnsi="Times New Roman" w:cs="Times New Roman"/>
          <w:sz w:val="24"/>
          <w:szCs w:val="24"/>
        </w:rPr>
        <w:t xml:space="preserve">EDA and OCCAR are exempted from the eligibility check. </w:t>
      </w:r>
      <w:r w:rsidRPr="00513AD7">
        <w:rPr>
          <w:rFonts w:ascii="Times New Roman" w:hAnsi="Times New Roman" w:cs="Times New Roman"/>
          <w:b/>
          <w:sz w:val="24"/>
          <w:szCs w:val="24"/>
        </w:rPr>
        <w:t xml:space="preserve">They must however fill </w:t>
      </w:r>
      <w:r w:rsidR="008B20A4">
        <w:rPr>
          <w:rFonts w:ascii="Times New Roman" w:hAnsi="Times New Roman" w:cs="Times New Roman"/>
          <w:b/>
          <w:sz w:val="24"/>
          <w:szCs w:val="24"/>
        </w:rPr>
        <w:t xml:space="preserve">in </w:t>
      </w:r>
      <w:r w:rsidRPr="00513AD7">
        <w:rPr>
          <w:rFonts w:ascii="Times New Roman" w:hAnsi="Times New Roman" w:cs="Times New Roman"/>
          <w:b/>
          <w:sz w:val="24"/>
          <w:szCs w:val="24"/>
        </w:rPr>
        <w:t xml:space="preserve">the </w:t>
      </w:r>
      <w:r w:rsidR="00513AD7" w:rsidRPr="00513AD7">
        <w:rPr>
          <w:rFonts w:ascii="Times New Roman" w:hAnsi="Times New Roman" w:cs="Times New Roman"/>
          <w:b/>
          <w:sz w:val="24"/>
          <w:szCs w:val="24"/>
        </w:rPr>
        <w:t>application</w:t>
      </w:r>
      <w:r w:rsidRPr="00513AD7">
        <w:rPr>
          <w:rFonts w:ascii="Times New Roman" w:hAnsi="Times New Roman" w:cs="Times New Roman"/>
          <w:b/>
          <w:sz w:val="24"/>
          <w:szCs w:val="24"/>
        </w:rPr>
        <w:t xml:space="preserve"> form</w:t>
      </w:r>
      <w:r>
        <w:rPr>
          <w:rFonts w:ascii="Times New Roman" w:hAnsi="Times New Roman" w:cs="Times New Roman"/>
          <w:sz w:val="24"/>
          <w:szCs w:val="24"/>
        </w:rPr>
        <w:t xml:space="preserve"> </w:t>
      </w:r>
      <w:r w:rsidRPr="00513AD7">
        <w:rPr>
          <w:rFonts w:ascii="Times New Roman" w:hAnsi="Times New Roman" w:cs="Times New Roman"/>
          <w:b/>
          <w:sz w:val="24"/>
          <w:szCs w:val="24"/>
        </w:rPr>
        <w:t>to express their interest</w:t>
      </w:r>
      <w:r>
        <w:rPr>
          <w:rFonts w:ascii="Times New Roman" w:hAnsi="Times New Roman" w:cs="Times New Roman"/>
          <w:sz w:val="24"/>
          <w:szCs w:val="24"/>
        </w:rPr>
        <w:t xml:space="preserve"> for being entrusted</w:t>
      </w:r>
      <w:r w:rsidR="001B1FB4">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1C1FFD">
        <w:rPr>
          <w:rFonts w:ascii="Times New Roman" w:hAnsi="Times New Roman" w:cs="Times New Roman"/>
          <w:sz w:val="24"/>
          <w:szCs w:val="24"/>
        </w:rPr>
        <w:t xml:space="preserve">implementing tasks </w:t>
      </w:r>
      <w:r>
        <w:rPr>
          <w:rFonts w:ascii="Times New Roman" w:hAnsi="Times New Roman" w:cs="Times New Roman"/>
          <w:sz w:val="24"/>
          <w:szCs w:val="24"/>
        </w:rPr>
        <w:t>under EDF</w:t>
      </w:r>
      <w:r w:rsidR="00513AD7">
        <w:rPr>
          <w:rFonts w:ascii="Times New Roman" w:hAnsi="Times New Roman" w:cs="Times New Roman"/>
          <w:sz w:val="24"/>
          <w:szCs w:val="24"/>
        </w:rPr>
        <w:t xml:space="preserve"> and give some indications o</w:t>
      </w:r>
      <w:r w:rsidR="001C1FFD">
        <w:rPr>
          <w:rFonts w:ascii="Times New Roman" w:hAnsi="Times New Roman" w:cs="Times New Roman"/>
          <w:sz w:val="24"/>
          <w:szCs w:val="24"/>
        </w:rPr>
        <w:t>f</w:t>
      </w:r>
      <w:r w:rsidR="00513AD7">
        <w:rPr>
          <w:rFonts w:ascii="Times New Roman" w:hAnsi="Times New Roman" w:cs="Times New Roman"/>
          <w:sz w:val="24"/>
          <w:szCs w:val="24"/>
        </w:rPr>
        <w:t xml:space="preserve"> the type of </w:t>
      </w:r>
      <w:r w:rsidR="00A04952">
        <w:rPr>
          <w:rFonts w:ascii="Times New Roman" w:hAnsi="Times New Roman" w:cs="Times New Roman"/>
          <w:sz w:val="24"/>
          <w:szCs w:val="24"/>
        </w:rPr>
        <w:t>action</w:t>
      </w:r>
      <w:r w:rsidR="00513AD7">
        <w:rPr>
          <w:rFonts w:ascii="Times New Roman" w:hAnsi="Times New Roman" w:cs="Times New Roman"/>
          <w:sz w:val="24"/>
          <w:szCs w:val="24"/>
        </w:rPr>
        <w:t xml:space="preserve">s </w:t>
      </w:r>
      <w:r w:rsidR="001B1FB4">
        <w:rPr>
          <w:rFonts w:ascii="Times New Roman" w:hAnsi="Times New Roman" w:cs="Times New Roman"/>
          <w:sz w:val="24"/>
          <w:szCs w:val="24"/>
        </w:rPr>
        <w:t>they wish to manage under EDF</w:t>
      </w:r>
      <w:r w:rsidR="00513AD7">
        <w:rPr>
          <w:rFonts w:ascii="Times New Roman" w:hAnsi="Times New Roman" w:cs="Times New Roman"/>
          <w:sz w:val="24"/>
          <w:szCs w:val="24"/>
        </w:rPr>
        <w:t>.</w:t>
      </w:r>
      <w:r w:rsidR="00107BE9">
        <w:rPr>
          <w:rFonts w:ascii="Times New Roman" w:hAnsi="Times New Roman" w:cs="Times New Roman"/>
          <w:sz w:val="24"/>
          <w:szCs w:val="24"/>
        </w:rPr>
        <w:t xml:space="preserve"> </w:t>
      </w:r>
      <w:r w:rsidR="00840049">
        <w:rPr>
          <w:rFonts w:ascii="Times New Roman" w:hAnsi="Times New Roman" w:cs="Times New Roman"/>
          <w:sz w:val="24"/>
          <w:szCs w:val="24"/>
        </w:rPr>
        <w:t>After confirmation by the Commission, t</w:t>
      </w:r>
      <w:r w:rsidR="00107BE9">
        <w:rPr>
          <w:rFonts w:ascii="Times New Roman" w:hAnsi="Times New Roman" w:cs="Times New Roman"/>
          <w:sz w:val="24"/>
          <w:szCs w:val="24"/>
        </w:rPr>
        <w:t>hey will then have to initiate (EDA) or complete (OCCAR) an assessment in line with the terms of reference adopted by the Commission in 2019</w:t>
      </w:r>
      <w:r w:rsidR="00107BE9">
        <w:rPr>
          <w:rStyle w:val="FootnoteReference"/>
          <w:rFonts w:ascii="Times New Roman" w:hAnsi="Times New Roman" w:cs="Times New Roman"/>
          <w:sz w:val="24"/>
          <w:szCs w:val="24"/>
        </w:rPr>
        <w:footnoteReference w:id="5"/>
      </w:r>
      <w:r w:rsidR="00107BE9">
        <w:rPr>
          <w:rFonts w:ascii="Times New Roman" w:hAnsi="Times New Roman" w:cs="Times New Roman"/>
          <w:sz w:val="24"/>
          <w:szCs w:val="24"/>
        </w:rPr>
        <w:t xml:space="preserve"> (</w:t>
      </w:r>
      <w:r w:rsidR="00107BE9" w:rsidRPr="00B815F6">
        <w:rPr>
          <w:rFonts w:ascii="Times New Roman" w:hAnsi="Times New Roman" w:cs="Times New Roman"/>
          <w:sz w:val="24"/>
          <w:szCs w:val="24"/>
        </w:rPr>
        <w:t>Commission Decision C(2019) 2882 of 17 April 2019</w:t>
      </w:r>
      <w:r w:rsidR="00107BE9">
        <w:rPr>
          <w:rFonts w:ascii="Times New Roman" w:hAnsi="Times New Roman" w:cs="Times New Roman"/>
          <w:sz w:val="24"/>
          <w:szCs w:val="24"/>
        </w:rPr>
        <w:t>).</w:t>
      </w:r>
    </w:p>
    <w:p w14:paraId="46EEA497" w14:textId="77777777" w:rsidR="00D66E5B" w:rsidRPr="00D66E5B" w:rsidRDefault="006A14FA" w:rsidP="00513AD7">
      <w:pPr>
        <w:pStyle w:val="Heading2"/>
        <w:spacing w:before="240" w:after="120"/>
        <w:ind w:left="431" w:hanging="431"/>
        <w:rPr>
          <w:b/>
          <w:bCs/>
          <w:szCs w:val="24"/>
        </w:rPr>
      </w:pPr>
      <w:r>
        <w:rPr>
          <w:b/>
          <w:bCs/>
          <w:szCs w:val="24"/>
        </w:rPr>
        <w:t>Necessity of a comprehensive pillar-assessment</w:t>
      </w:r>
    </w:p>
    <w:p w14:paraId="4C2D016F" w14:textId="77777777" w:rsidR="00D66E5B" w:rsidRDefault="00911DBE" w:rsidP="00821F73">
      <w:pPr>
        <w:jc w:val="both"/>
        <w:rPr>
          <w:rFonts w:ascii="Times New Roman" w:hAnsi="Times New Roman" w:cs="Times New Roman"/>
          <w:sz w:val="24"/>
          <w:szCs w:val="24"/>
        </w:rPr>
      </w:pPr>
      <w:r>
        <w:rPr>
          <w:rFonts w:ascii="Times New Roman" w:hAnsi="Times New Roman" w:cs="Times New Roman"/>
          <w:sz w:val="24"/>
          <w:szCs w:val="24"/>
        </w:rPr>
        <w:t xml:space="preserve">Eligible </w:t>
      </w:r>
      <w:r w:rsidR="003E7655">
        <w:rPr>
          <w:rFonts w:ascii="Times New Roman" w:hAnsi="Times New Roman" w:cs="Times New Roman"/>
          <w:sz w:val="24"/>
          <w:szCs w:val="24"/>
        </w:rPr>
        <w:t>candidates</w:t>
      </w:r>
      <w:r>
        <w:rPr>
          <w:rFonts w:ascii="Times New Roman" w:hAnsi="Times New Roman" w:cs="Times New Roman"/>
          <w:sz w:val="24"/>
          <w:szCs w:val="24"/>
        </w:rPr>
        <w:t xml:space="preserve"> </w:t>
      </w:r>
      <w:r w:rsidR="00A04952">
        <w:rPr>
          <w:rFonts w:ascii="Times New Roman" w:hAnsi="Times New Roman" w:cs="Times New Roman"/>
          <w:sz w:val="24"/>
          <w:szCs w:val="24"/>
        </w:rPr>
        <w:t>must</w:t>
      </w:r>
      <w:r>
        <w:rPr>
          <w:rFonts w:ascii="Times New Roman" w:hAnsi="Times New Roman" w:cs="Times New Roman"/>
          <w:sz w:val="24"/>
          <w:szCs w:val="24"/>
        </w:rPr>
        <w:t xml:space="preserve"> be assessed</w:t>
      </w:r>
      <w:r w:rsidR="00FC6CE7">
        <w:rPr>
          <w:rFonts w:ascii="Times New Roman" w:hAnsi="Times New Roman" w:cs="Times New Roman"/>
          <w:sz w:val="24"/>
          <w:szCs w:val="24"/>
        </w:rPr>
        <w:t xml:space="preserve"> </w:t>
      </w:r>
      <w:r w:rsidR="007809FD" w:rsidRPr="009828EF">
        <w:rPr>
          <w:rFonts w:ascii="Times New Roman" w:hAnsi="Times New Roman" w:cs="Times New Roman"/>
          <w:sz w:val="24"/>
          <w:szCs w:val="24"/>
        </w:rPr>
        <w:t>under Article 154 of the Financial Regulation</w:t>
      </w:r>
      <w:r w:rsidR="00E40796">
        <w:rPr>
          <w:rFonts w:ascii="Times New Roman" w:hAnsi="Times New Roman" w:cs="Times New Roman"/>
          <w:sz w:val="24"/>
          <w:szCs w:val="24"/>
        </w:rPr>
        <w:t xml:space="preserve"> (ex-ante assessment, so called </w:t>
      </w:r>
      <w:r w:rsidR="00E427B0">
        <w:rPr>
          <w:rFonts w:ascii="Times New Roman" w:hAnsi="Times New Roman" w:cs="Times New Roman"/>
          <w:sz w:val="24"/>
          <w:szCs w:val="24"/>
        </w:rPr>
        <w:t>“</w:t>
      </w:r>
      <w:r w:rsidR="00E40796">
        <w:rPr>
          <w:rFonts w:ascii="Times New Roman" w:hAnsi="Times New Roman" w:cs="Times New Roman"/>
          <w:sz w:val="24"/>
          <w:szCs w:val="24"/>
        </w:rPr>
        <w:t>pillar assessment</w:t>
      </w:r>
      <w:r w:rsidR="00E427B0">
        <w:rPr>
          <w:rFonts w:ascii="Times New Roman" w:hAnsi="Times New Roman" w:cs="Times New Roman"/>
          <w:sz w:val="24"/>
          <w:szCs w:val="24"/>
        </w:rPr>
        <w:t>”</w:t>
      </w:r>
      <w:r w:rsidR="00E40796">
        <w:rPr>
          <w:rFonts w:ascii="Times New Roman" w:hAnsi="Times New Roman" w:cs="Times New Roman"/>
          <w:sz w:val="24"/>
          <w:szCs w:val="24"/>
        </w:rPr>
        <w:t>)</w:t>
      </w:r>
      <w:r w:rsidR="004E39E9">
        <w:rPr>
          <w:rFonts w:ascii="Times New Roman" w:hAnsi="Times New Roman" w:cs="Times New Roman"/>
          <w:sz w:val="24"/>
          <w:szCs w:val="24"/>
        </w:rPr>
        <w:t xml:space="preserve">, </w:t>
      </w:r>
      <w:r w:rsidR="004E39E9" w:rsidRPr="00A04952">
        <w:rPr>
          <w:rFonts w:ascii="Times New Roman" w:hAnsi="Times New Roman" w:cs="Times New Roman"/>
          <w:sz w:val="24"/>
          <w:szCs w:val="24"/>
          <w:u w:val="single"/>
        </w:rPr>
        <w:t>before</w:t>
      </w:r>
      <w:r w:rsidR="004E39E9" w:rsidRPr="00A04952">
        <w:rPr>
          <w:rFonts w:ascii="Times New Roman" w:hAnsi="Times New Roman" w:cs="Times New Roman"/>
          <w:sz w:val="24"/>
          <w:szCs w:val="24"/>
        </w:rPr>
        <w:t xml:space="preserve"> </w:t>
      </w:r>
      <w:r w:rsidR="004E39E9">
        <w:rPr>
          <w:rFonts w:ascii="Times New Roman" w:hAnsi="Times New Roman" w:cs="Times New Roman"/>
          <w:sz w:val="24"/>
          <w:szCs w:val="24"/>
        </w:rPr>
        <w:t xml:space="preserve">a </w:t>
      </w:r>
      <w:r w:rsidR="00821F73">
        <w:rPr>
          <w:rFonts w:ascii="Times New Roman" w:hAnsi="Times New Roman" w:cs="Times New Roman"/>
          <w:sz w:val="24"/>
          <w:szCs w:val="24"/>
        </w:rPr>
        <w:t>Contribution A</w:t>
      </w:r>
      <w:r w:rsidR="004E39E9">
        <w:rPr>
          <w:rFonts w:ascii="Times New Roman" w:hAnsi="Times New Roman" w:cs="Times New Roman"/>
          <w:sz w:val="24"/>
          <w:szCs w:val="24"/>
        </w:rPr>
        <w:t>greement can be signed with the</w:t>
      </w:r>
      <w:r w:rsidR="00D77540">
        <w:rPr>
          <w:rFonts w:ascii="Times New Roman" w:hAnsi="Times New Roman" w:cs="Times New Roman"/>
          <w:sz w:val="24"/>
          <w:szCs w:val="24"/>
        </w:rPr>
        <w:t xml:space="preserve"> EU</w:t>
      </w:r>
      <w:r w:rsidR="00D51E00">
        <w:rPr>
          <w:rStyle w:val="FootnoteReference"/>
          <w:rFonts w:ascii="Times New Roman" w:hAnsi="Times New Roman" w:cs="Times New Roman"/>
          <w:sz w:val="24"/>
          <w:szCs w:val="24"/>
        </w:rPr>
        <w:footnoteReference w:id="6"/>
      </w:r>
      <w:r w:rsidR="00FC6CE7">
        <w:rPr>
          <w:rFonts w:ascii="Times New Roman" w:hAnsi="Times New Roman" w:cs="Times New Roman"/>
          <w:sz w:val="24"/>
          <w:szCs w:val="24"/>
        </w:rPr>
        <w:t>.</w:t>
      </w:r>
      <w:r w:rsidR="007809FD">
        <w:rPr>
          <w:rFonts w:ascii="Times New Roman" w:hAnsi="Times New Roman" w:cs="Times New Roman"/>
          <w:sz w:val="24"/>
          <w:szCs w:val="24"/>
        </w:rPr>
        <w:t xml:space="preserve"> </w:t>
      </w:r>
    </w:p>
    <w:p w14:paraId="759CCB39" w14:textId="77777777" w:rsidR="006A14FA" w:rsidRDefault="006A14FA" w:rsidP="006A14FA">
      <w:pPr>
        <w:jc w:val="both"/>
        <w:rPr>
          <w:rFonts w:ascii="Times New Roman" w:hAnsi="Times New Roman" w:cs="Times New Roman"/>
          <w:sz w:val="24"/>
          <w:szCs w:val="24"/>
        </w:rPr>
      </w:pPr>
      <w:r>
        <w:rPr>
          <w:rFonts w:ascii="Times New Roman" w:hAnsi="Times New Roman" w:cs="Times New Roman"/>
          <w:sz w:val="24"/>
          <w:szCs w:val="24"/>
        </w:rPr>
        <w:lastRenderedPageBreak/>
        <w:t>A complete screening process (</w:t>
      </w:r>
      <w:r w:rsidR="00D66E5B" w:rsidRPr="00D66E5B">
        <w:rPr>
          <w:rFonts w:ascii="Times New Roman" w:hAnsi="Times New Roman" w:cs="Times New Roman"/>
          <w:sz w:val="24"/>
          <w:szCs w:val="24"/>
        </w:rPr>
        <w:t>‘Pillar Assessment’</w:t>
      </w:r>
      <w:r>
        <w:rPr>
          <w:rFonts w:ascii="Times New Roman" w:hAnsi="Times New Roman" w:cs="Times New Roman"/>
          <w:sz w:val="24"/>
          <w:szCs w:val="24"/>
        </w:rPr>
        <w:t xml:space="preserve">) led by an </w:t>
      </w:r>
      <w:r w:rsidRPr="006A14FA">
        <w:rPr>
          <w:rFonts w:ascii="Times New Roman" w:hAnsi="Times New Roman" w:cs="Times New Roman"/>
          <w:sz w:val="24"/>
          <w:szCs w:val="24"/>
        </w:rPr>
        <w:t>independent external auditor</w:t>
      </w:r>
      <w:r>
        <w:rPr>
          <w:rFonts w:ascii="Times New Roman" w:hAnsi="Times New Roman" w:cs="Times New Roman"/>
          <w:sz w:val="24"/>
          <w:szCs w:val="24"/>
        </w:rPr>
        <w:t xml:space="preserve"> and based on a methodology defined by the Commission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aims to </w:t>
      </w:r>
      <w:r w:rsidR="00D66E5B" w:rsidRPr="00A04952">
        <w:rPr>
          <w:rFonts w:ascii="Times New Roman" w:hAnsi="Times New Roman" w:cs="Times New Roman"/>
          <w:b/>
          <w:sz w:val="24"/>
          <w:szCs w:val="24"/>
        </w:rPr>
        <w:t xml:space="preserve">ensure </w:t>
      </w:r>
      <w:r w:rsidRPr="00A04952">
        <w:rPr>
          <w:rFonts w:ascii="Times New Roman" w:hAnsi="Times New Roman" w:cs="Times New Roman"/>
          <w:b/>
          <w:sz w:val="24"/>
          <w:szCs w:val="24"/>
        </w:rPr>
        <w:t xml:space="preserve">that </w:t>
      </w:r>
      <w:r w:rsidR="00D66E5B" w:rsidRPr="00A04952">
        <w:rPr>
          <w:rFonts w:ascii="Times New Roman" w:hAnsi="Times New Roman" w:cs="Times New Roman"/>
          <w:b/>
          <w:sz w:val="24"/>
          <w:szCs w:val="24"/>
        </w:rPr>
        <w:t xml:space="preserve">EU funds are </w:t>
      </w:r>
      <w:r w:rsidRPr="00A04952">
        <w:rPr>
          <w:rFonts w:ascii="Times New Roman" w:hAnsi="Times New Roman" w:cs="Times New Roman"/>
          <w:b/>
          <w:sz w:val="24"/>
          <w:szCs w:val="24"/>
        </w:rPr>
        <w:t xml:space="preserve">managed with a level of protection </w:t>
      </w:r>
      <w:r w:rsidRPr="00A04952">
        <w:rPr>
          <w:rFonts w:ascii="Times New Roman" w:hAnsi="Times New Roman" w:cs="Times New Roman"/>
          <w:sz w:val="24"/>
          <w:szCs w:val="24"/>
        </w:rPr>
        <w:t>of the EU's financial interests</w:t>
      </w:r>
      <w:r w:rsidRPr="00A04952">
        <w:rPr>
          <w:rFonts w:ascii="Times New Roman" w:hAnsi="Times New Roman" w:cs="Times New Roman"/>
          <w:b/>
          <w:sz w:val="24"/>
          <w:szCs w:val="24"/>
        </w:rPr>
        <w:t xml:space="preserve"> equivalent to that required under the Financial Regulation</w:t>
      </w:r>
      <w:r w:rsidR="00A04952">
        <w:rPr>
          <w:rFonts w:ascii="Times New Roman" w:hAnsi="Times New Roman" w:cs="Times New Roman"/>
          <w:sz w:val="24"/>
          <w:szCs w:val="24"/>
        </w:rPr>
        <w:t>.</w:t>
      </w:r>
    </w:p>
    <w:p w14:paraId="1B2D49FD" w14:textId="11A9730C" w:rsidR="006A14FA" w:rsidRPr="006A14FA" w:rsidRDefault="006A14FA" w:rsidP="006A14FA">
      <w:pPr>
        <w:jc w:val="both"/>
        <w:rPr>
          <w:rFonts w:ascii="Times New Roman" w:hAnsi="Times New Roman" w:cs="Times New Roman"/>
          <w:sz w:val="24"/>
          <w:szCs w:val="24"/>
        </w:rPr>
      </w:pPr>
      <w:r>
        <w:rPr>
          <w:rFonts w:ascii="Times New Roman" w:hAnsi="Times New Roman" w:cs="Times New Roman"/>
          <w:sz w:val="24"/>
          <w:szCs w:val="24"/>
        </w:rPr>
        <w:t xml:space="preserve">More specifically, </w:t>
      </w:r>
      <w:r w:rsidR="00513AD7">
        <w:rPr>
          <w:rFonts w:ascii="Times New Roman" w:hAnsi="Times New Roman" w:cs="Times New Roman"/>
          <w:sz w:val="24"/>
          <w:szCs w:val="24"/>
        </w:rPr>
        <w:t>e</w:t>
      </w:r>
      <w:r>
        <w:rPr>
          <w:rFonts w:ascii="Times New Roman" w:hAnsi="Times New Roman" w:cs="Times New Roman"/>
          <w:sz w:val="24"/>
          <w:szCs w:val="24"/>
        </w:rPr>
        <w:t xml:space="preserve">ligible candidates </w:t>
      </w:r>
      <w:r w:rsidRPr="006A14FA">
        <w:rPr>
          <w:rFonts w:ascii="Times New Roman" w:hAnsi="Times New Roman" w:cs="Times New Roman"/>
          <w:sz w:val="24"/>
          <w:szCs w:val="24"/>
        </w:rPr>
        <w:t>must meet requirements with regard to nine ‘pillars’. These pillars relate to:</w:t>
      </w:r>
    </w:p>
    <w:p w14:paraId="337C2130" w14:textId="77777777" w:rsidR="006A14FA" w:rsidRDefault="006A14FA" w:rsidP="006B79D2">
      <w:pPr>
        <w:pStyle w:val="ListParagraph"/>
        <w:numPr>
          <w:ilvl w:val="0"/>
          <w:numId w:val="5"/>
        </w:numPr>
        <w:jc w:val="both"/>
        <w:rPr>
          <w:rFonts w:ascii="Times New Roman" w:hAnsi="Times New Roman" w:cs="Times New Roman"/>
          <w:sz w:val="24"/>
          <w:szCs w:val="24"/>
        </w:rPr>
      </w:pPr>
      <w:r w:rsidRPr="006A14FA">
        <w:rPr>
          <w:rFonts w:ascii="Times New Roman" w:hAnsi="Times New Roman" w:cs="Times New Roman"/>
          <w:sz w:val="24"/>
          <w:szCs w:val="24"/>
        </w:rPr>
        <w:t>the internal control system;</w:t>
      </w:r>
    </w:p>
    <w:p w14:paraId="3C1203B5" w14:textId="77777777" w:rsidR="006A14FA" w:rsidRDefault="006A14FA" w:rsidP="006B79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accounting system;</w:t>
      </w:r>
    </w:p>
    <w:p w14:paraId="1A25055B" w14:textId="77777777" w:rsidR="006A14FA" w:rsidRPr="006A14FA" w:rsidRDefault="006A14FA" w:rsidP="006B79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an independent internal audit;</w:t>
      </w:r>
    </w:p>
    <w:p w14:paraId="194B3C4B" w14:textId="77777777" w:rsidR="006A14FA" w:rsidRPr="006A14FA" w:rsidRDefault="006A14FA" w:rsidP="006A14FA">
      <w:pPr>
        <w:jc w:val="both"/>
        <w:rPr>
          <w:rFonts w:ascii="Times New Roman" w:hAnsi="Times New Roman" w:cs="Times New Roman"/>
          <w:sz w:val="24"/>
          <w:szCs w:val="24"/>
        </w:rPr>
      </w:pPr>
      <w:r w:rsidRPr="006A14FA">
        <w:rPr>
          <w:rFonts w:ascii="Times New Roman" w:hAnsi="Times New Roman" w:cs="Times New Roman"/>
          <w:sz w:val="24"/>
          <w:szCs w:val="24"/>
        </w:rPr>
        <w:t>as well as rules and procedures for providing financing from EU funds through:</w:t>
      </w:r>
    </w:p>
    <w:p w14:paraId="7654C09D" w14:textId="77777777" w:rsidR="006A14FA" w:rsidRPr="006A14FA" w:rsidRDefault="006A14FA" w:rsidP="006B79D2">
      <w:pPr>
        <w:pStyle w:val="ListParagraph"/>
        <w:numPr>
          <w:ilvl w:val="0"/>
          <w:numId w:val="5"/>
        </w:numPr>
        <w:jc w:val="both"/>
        <w:rPr>
          <w:rFonts w:ascii="Times New Roman" w:hAnsi="Times New Roman" w:cs="Times New Roman"/>
          <w:sz w:val="24"/>
          <w:szCs w:val="24"/>
        </w:rPr>
      </w:pPr>
      <w:r w:rsidRPr="006A14FA">
        <w:rPr>
          <w:rFonts w:ascii="Times New Roman" w:hAnsi="Times New Roman" w:cs="Times New Roman"/>
          <w:sz w:val="24"/>
          <w:szCs w:val="24"/>
        </w:rPr>
        <w:t>grants;</w:t>
      </w:r>
    </w:p>
    <w:p w14:paraId="2C6E5028" w14:textId="77777777" w:rsidR="006A14FA" w:rsidRPr="006A14FA" w:rsidRDefault="006A14FA" w:rsidP="006B79D2">
      <w:pPr>
        <w:pStyle w:val="ListParagraph"/>
        <w:numPr>
          <w:ilvl w:val="0"/>
          <w:numId w:val="5"/>
        </w:numPr>
        <w:jc w:val="both"/>
        <w:rPr>
          <w:rFonts w:ascii="Times New Roman" w:hAnsi="Times New Roman" w:cs="Times New Roman"/>
          <w:color w:val="7F7F7F" w:themeColor="text1" w:themeTint="80"/>
          <w:sz w:val="24"/>
          <w:szCs w:val="24"/>
        </w:rPr>
      </w:pPr>
      <w:r w:rsidRPr="006A14FA">
        <w:rPr>
          <w:rFonts w:ascii="Times New Roman" w:hAnsi="Times New Roman" w:cs="Times New Roman"/>
          <w:color w:val="7F7F7F" w:themeColor="text1" w:themeTint="80"/>
          <w:sz w:val="24"/>
          <w:szCs w:val="24"/>
        </w:rPr>
        <w:t>procurement (not applicable under this Call);</w:t>
      </w:r>
    </w:p>
    <w:p w14:paraId="1F05D198" w14:textId="77777777" w:rsidR="006A14FA" w:rsidRPr="006A14FA" w:rsidRDefault="006A14FA" w:rsidP="006B79D2">
      <w:pPr>
        <w:pStyle w:val="ListParagraph"/>
        <w:numPr>
          <w:ilvl w:val="0"/>
          <w:numId w:val="5"/>
        </w:numPr>
        <w:jc w:val="both"/>
        <w:rPr>
          <w:rFonts w:ascii="Times New Roman" w:hAnsi="Times New Roman" w:cs="Times New Roman"/>
          <w:color w:val="7F7F7F" w:themeColor="text1" w:themeTint="80"/>
          <w:sz w:val="24"/>
          <w:szCs w:val="24"/>
        </w:rPr>
      </w:pPr>
      <w:r w:rsidRPr="006A14FA">
        <w:rPr>
          <w:rFonts w:ascii="Times New Roman" w:hAnsi="Times New Roman" w:cs="Times New Roman"/>
          <w:color w:val="7F7F7F" w:themeColor="text1" w:themeTint="80"/>
          <w:sz w:val="24"/>
          <w:szCs w:val="24"/>
        </w:rPr>
        <w:t>financial instruments (not applicable under this Call);</w:t>
      </w:r>
    </w:p>
    <w:p w14:paraId="3D467D80" w14:textId="77777777" w:rsidR="006A14FA" w:rsidRPr="006A14FA" w:rsidRDefault="006A14FA" w:rsidP="006A14FA">
      <w:pPr>
        <w:jc w:val="both"/>
        <w:rPr>
          <w:rFonts w:ascii="Times New Roman" w:hAnsi="Times New Roman" w:cs="Times New Roman"/>
          <w:sz w:val="24"/>
          <w:szCs w:val="24"/>
        </w:rPr>
      </w:pPr>
      <w:r w:rsidRPr="006A14FA">
        <w:rPr>
          <w:rFonts w:ascii="Times New Roman" w:hAnsi="Times New Roman" w:cs="Times New Roman"/>
          <w:sz w:val="24"/>
          <w:szCs w:val="24"/>
        </w:rPr>
        <w:t>and also:</w:t>
      </w:r>
    </w:p>
    <w:p w14:paraId="544963B3" w14:textId="77777777" w:rsidR="006A14FA" w:rsidRPr="006A14FA" w:rsidRDefault="006A14FA" w:rsidP="006B79D2">
      <w:pPr>
        <w:pStyle w:val="ListParagraph"/>
        <w:numPr>
          <w:ilvl w:val="0"/>
          <w:numId w:val="5"/>
        </w:numPr>
        <w:jc w:val="both"/>
        <w:rPr>
          <w:rFonts w:ascii="Times New Roman" w:hAnsi="Times New Roman" w:cs="Times New Roman"/>
          <w:sz w:val="24"/>
          <w:szCs w:val="24"/>
        </w:rPr>
      </w:pPr>
      <w:r w:rsidRPr="006A14FA">
        <w:rPr>
          <w:rFonts w:ascii="Times New Roman" w:hAnsi="Times New Roman" w:cs="Times New Roman"/>
          <w:sz w:val="24"/>
          <w:szCs w:val="24"/>
        </w:rPr>
        <w:t>exclusion from access to funding;</w:t>
      </w:r>
    </w:p>
    <w:p w14:paraId="1E82BFD1" w14:textId="77777777" w:rsidR="006A14FA" w:rsidRPr="006A14FA" w:rsidRDefault="006A14FA" w:rsidP="006B79D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Pr="006A14FA">
        <w:rPr>
          <w:rFonts w:ascii="Times New Roman" w:hAnsi="Times New Roman" w:cs="Times New Roman"/>
          <w:sz w:val="24"/>
          <w:szCs w:val="24"/>
        </w:rPr>
        <w:t>ublication of information on recipients;</w:t>
      </w:r>
    </w:p>
    <w:p w14:paraId="19057D16" w14:textId="77777777" w:rsidR="00D66E5B" w:rsidRDefault="006A14FA" w:rsidP="006B79D2">
      <w:pPr>
        <w:pStyle w:val="ListParagraph"/>
        <w:numPr>
          <w:ilvl w:val="0"/>
          <w:numId w:val="5"/>
        </w:numPr>
        <w:jc w:val="both"/>
        <w:rPr>
          <w:rFonts w:ascii="Times New Roman" w:hAnsi="Times New Roman" w:cs="Times New Roman"/>
          <w:sz w:val="24"/>
          <w:szCs w:val="24"/>
        </w:rPr>
      </w:pPr>
      <w:r w:rsidRPr="006A14FA">
        <w:rPr>
          <w:rFonts w:ascii="Times New Roman" w:hAnsi="Times New Roman" w:cs="Times New Roman"/>
          <w:sz w:val="24"/>
          <w:szCs w:val="24"/>
        </w:rPr>
        <w:t>protection of personal data.</w:t>
      </w:r>
    </w:p>
    <w:p w14:paraId="029C6566" w14:textId="77777777" w:rsidR="00E40796" w:rsidRDefault="006A14FA" w:rsidP="00A04952">
      <w:pPr>
        <w:spacing w:before="240"/>
        <w:jc w:val="both"/>
        <w:rPr>
          <w:rFonts w:ascii="Times New Roman" w:hAnsi="Times New Roman" w:cs="Times New Roman"/>
          <w:sz w:val="24"/>
          <w:szCs w:val="24"/>
        </w:rPr>
      </w:pPr>
      <w:r>
        <w:rPr>
          <w:rFonts w:ascii="Times New Roman" w:hAnsi="Times New Roman" w:cs="Times New Roman"/>
          <w:sz w:val="24"/>
          <w:szCs w:val="24"/>
        </w:rPr>
        <w:t>For EDF and under this Call, t</w:t>
      </w:r>
      <w:r w:rsidR="00E40796" w:rsidRPr="007C0F6B">
        <w:rPr>
          <w:rFonts w:ascii="Times New Roman" w:hAnsi="Times New Roman" w:cs="Times New Roman"/>
          <w:sz w:val="24"/>
          <w:szCs w:val="24"/>
        </w:rPr>
        <w:t>he following pillars must be assessed: (1) internal control system, (2) accounting system, (3) independent external audit, (</w:t>
      </w:r>
      <w:r w:rsidR="00821F73">
        <w:rPr>
          <w:rFonts w:ascii="Times New Roman" w:hAnsi="Times New Roman" w:cs="Times New Roman"/>
          <w:sz w:val="24"/>
          <w:szCs w:val="24"/>
        </w:rPr>
        <w:t>4</w:t>
      </w:r>
      <w:r w:rsidR="00E40796" w:rsidRPr="007C0F6B">
        <w:rPr>
          <w:rFonts w:ascii="Times New Roman" w:hAnsi="Times New Roman" w:cs="Times New Roman"/>
          <w:sz w:val="24"/>
          <w:szCs w:val="24"/>
        </w:rPr>
        <w:t>)</w:t>
      </w:r>
      <w:r w:rsidR="00821F73">
        <w:rPr>
          <w:rFonts w:ascii="Times New Roman" w:hAnsi="Times New Roman" w:cs="Times New Roman"/>
          <w:sz w:val="24"/>
          <w:szCs w:val="24"/>
        </w:rPr>
        <w:t xml:space="preserve"> r</w:t>
      </w:r>
      <w:r w:rsidR="00821F73" w:rsidRPr="00821F73">
        <w:rPr>
          <w:rFonts w:ascii="Times New Roman" w:hAnsi="Times New Roman" w:cs="Times New Roman"/>
          <w:sz w:val="24"/>
          <w:szCs w:val="24"/>
        </w:rPr>
        <w:t>ules and pro</w:t>
      </w:r>
      <w:r w:rsidR="00821F73">
        <w:rPr>
          <w:rFonts w:ascii="Times New Roman" w:hAnsi="Times New Roman" w:cs="Times New Roman"/>
          <w:sz w:val="24"/>
          <w:szCs w:val="24"/>
        </w:rPr>
        <w:t xml:space="preserve">cedures for </w:t>
      </w:r>
      <w:r w:rsidR="00821F73" w:rsidRPr="00821F73">
        <w:rPr>
          <w:rFonts w:ascii="Times New Roman" w:hAnsi="Times New Roman" w:cs="Times New Roman"/>
          <w:sz w:val="24"/>
          <w:szCs w:val="24"/>
        </w:rPr>
        <w:t>providing financing from EU funds through grants;</w:t>
      </w:r>
      <w:r w:rsidR="00E40796" w:rsidRPr="007C0F6B">
        <w:rPr>
          <w:rFonts w:ascii="Times New Roman" w:hAnsi="Times New Roman" w:cs="Times New Roman"/>
          <w:sz w:val="24"/>
          <w:szCs w:val="24"/>
        </w:rPr>
        <w:t xml:space="preserve"> (7) exclusion from access to funding, (8) publication of information on recipients</w:t>
      </w:r>
      <w:r w:rsidR="00E427B0">
        <w:rPr>
          <w:rFonts w:ascii="Times New Roman" w:hAnsi="Times New Roman" w:cs="Times New Roman"/>
          <w:sz w:val="24"/>
          <w:szCs w:val="24"/>
        </w:rPr>
        <w:t>,</w:t>
      </w:r>
      <w:r w:rsidR="00E40796" w:rsidRPr="007C0F6B">
        <w:rPr>
          <w:rFonts w:ascii="Times New Roman" w:hAnsi="Times New Roman" w:cs="Times New Roman"/>
          <w:sz w:val="24"/>
          <w:szCs w:val="24"/>
        </w:rPr>
        <w:t xml:space="preserve"> and (9) protection of personal</w:t>
      </w:r>
      <w:r w:rsidR="00BD6A8B">
        <w:rPr>
          <w:rFonts w:ascii="Times New Roman" w:hAnsi="Times New Roman" w:cs="Times New Roman"/>
          <w:sz w:val="24"/>
          <w:szCs w:val="24"/>
        </w:rPr>
        <w:t xml:space="preserve"> data.</w:t>
      </w:r>
    </w:p>
    <w:p w14:paraId="44EABA91" w14:textId="77777777" w:rsidR="006A14FA" w:rsidRDefault="006A14FA" w:rsidP="00821F73">
      <w:pPr>
        <w:jc w:val="both"/>
        <w:rPr>
          <w:rFonts w:ascii="Times New Roman" w:hAnsi="Times New Roman" w:cs="Times New Roman"/>
          <w:sz w:val="24"/>
          <w:szCs w:val="24"/>
        </w:rPr>
      </w:pPr>
      <w:r w:rsidRPr="006A14FA">
        <w:rPr>
          <w:rFonts w:ascii="Times New Roman" w:hAnsi="Times New Roman" w:cs="Times New Roman"/>
          <w:sz w:val="24"/>
          <w:szCs w:val="24"/>
        </w:rPr>
        <w:t>The Commission concludes its assessment based on the findings of the auditor’s report</w:t>
      </w:r>
      <w:r>
        <w:rPr>
          <w:rFonts w:ascii="Times New Roman" w:hAnsi="Times New Roman" w:cs="Times New Roman"/>
          <w:sz w:val="24"/>
          <w:szCs w:val="24"/>
        </w:rPr>
        <w:t>.</w:t>
      </w:r>
    </w:p>
    <w:p w14:paraId="7C043593" w14:textId="77777777" w:rsidR="00B815F6" w:rsidRDefault="004E39E9" w:rsidP="007809FD">
      <w:pPr>
        <w:jc w:val="both"/>
        <w:rPr>
          <w:rFonts w:ascii="Times New Roman" w:hAnsi="Times New Roman" w:cs="Times New Roman"/>
          <w:sz w:val="24"/>
          <w:szCs w:val="24"/>
        </w:rPr>
      </w:pPr>
      <w:r>
        <w:rPr>
          <w:rFonts w:ascii="Times New Roman" w:hAnsi="Times New Roman" w:cs="Times New Roman"/>
          <w:sz w:val="24"/>
          <w:szCs w:val="24"/>
        </w:rPr>
        <w:t xml:space="preserve">Taking into account the </w:t>
      </w:r>
      <w:r w:rsidR="00E40796">
        <w:rPr>
          <w:rFonts w:ascii="Times New Roman" w:hAnsi="Times New Roman" w:cs="Times New Roman"/>
          <w:sz w:val="24"/>
          <w:szCs w:val="24"/>
        </w:rPr>
        <w:t xml:space="preserve">pillar </w:t>
      </w:r>
      <w:r>
        <w:rPr>
          <w:rFonts w:ascii="Times New Roman" w:hAnsi="Times New Roman" w:cs="Times New Roman"/>
          <w:sz w:val="24"/>
          <w:szCs w:val="24"/>
        </w:rPr>
        <w:t>assessment outcome, t</w:t>
      </w:r>
      <w:r w:rsidR="007809FD">
        <w:rPr>
          <w:rFonts w:ascii="Times New Roman" w:hAnsi="Times New Roman" w:cs="Times New Roman"/>
          <w:sz w:val="24"/>
          <w:szCs w:val="24"/>
        </w:rPr>
        <w:t xml:space="preserve">he Commission </w:t>
      </w:r>
      <w:r>
        <w:rPr>
          <w:rFonts w:ascii="Times New Roman" w:hAnsi="Times New Roman" w:cs="Times New Roman"/>
          <w:sz w:val="24"/>
          <w:szCs w:val="24"/>
        </w:rPr>
        <w:t xml:space="preserve">reserves the right to apply supervisory measures in accordance with Article 154(5) of the Financial Regulation or postpone the signature of </w:t>
      </w:r>
      <w:r w:rsidR="00821F73">
        <w:rPr>
          <w:rFonts w:ascii="Times New Roman" w:hAnsi="Times New Roman" w:cs="Times New Roman"/>
          <w:sz w:val="24"/>
          <w:szCs w:val="24"/>
        </w:rPr>
        <w:t xml:space="preserve">a Contribution </w:t>
      </w:r>
      <w:r w:rsidRPr="004E39E9">
        <w:rPr>
          <w:rFonts w:ascii="Times New Roman" w:hAnsi="Times New Roman" w:cs="Times New Roman"/>
          <w:sz w:val="24"/>
          <w:szCs w:val="24"/>
        </w:rPr>
        <w:t>Agreement</w:t>
      </w:r>
      <w:r w:rsidR="00FC6CE7">
        <w:rPr>
          <w:rFonts w:ascii="Times New Roman" w:hAnsi="Times New Roman" w:cs="Times New Roman"/>
          <w:sz w:val="24"/>
          <w:szCs w:val="24"/>
        </w:rPr>
        <w:t>.</w:t>
      </w:r>
      <w:r w:rsidR="00821F73">
        <w:rPr>
          <w:rFonts w:ascii="Times New Roman" w:hAnsi="Times New Roman" w:cs="Times New Roman"/>
          <w:sz w:val="24"/>
          <w:szCs w:val="24"/>
        </w:rPr>
        <w:t xml:space="preserve"> </w:t>
      </w:r>
    </w:p>
    <w:p w14:paraId="488844A2" w14:textId="77777777" w:rsidR="00CB0E86" w:rsidRDefault="00CB0E86" w:rsidP="007809FD">
      <w:pPr>
        <w:jc w:val="both"/>
        <w:rPr>
          <w:rFonts w:ascii="Times New Roman" w:hAnsi="Times New Roman" w:cs="Times New Roman"/>
          <w:sz w:val="24"/>
          <w:szCs w:val="24"/>
        </w:rPr>
      </w:pPr>
      <w:r w:rsidRPr="00A04952">
        <w:rPr>
          <w:rFonts w:ascii="Times New Roman" w:hAnsi="Times New Roman" w:cs="Times New Roman"/>
          <w:sz w:val="24"/>
          <w:szCs w:val="24"/>
        </w:rPr>
        <w:t xml:space="preserve">If the existing pillar assessment of the </w:t>
      </w:r>
      <w:r w:rsidR="00821F73" w:rsidRPr="00A04952">
        <w:rPr>
          <w:rFonts w:ascii="Times New Roman" w:hAnsi="Times New Roman" w:cs="Times New Roman"/>
          <w:sz w:val="24"/>
          <w:szCs w:val="24"/>
        </w:rPr>
        <w:t xml:space="preserve">candidate </w:t>
      </w:r>
      <w:r w:rsidRPr="00A04952">
        <w:rPr>
          <w:rFonts w:ascii="Times New Roman" w:hAnsi="Times New Roman" w:cs="Times New Roman"/>
          <w:sz w:val="24"/>
          <w:szCs w:val="24"/>
        </w:rPr>
        <w:t>does not cover one or more of the pillars mentioned above, a complementary assessment must be undertaken.</w:t>
      </w:r>
    </w:p>
    <w:p w14:paraId="2EBDDAFC" w14:textId="77777777" w:rsidR="00E10B4F" w:rsidRDefault="00E10B4F" w:rsidP="007809FD">
      <w:pPr>
        <w:jc w:val="both"/>
        <w:rPr>
          <w:rFonts w:ascii="Times New Roman" w:hAnsi="Times New Roman" w:cs="Times New Roman"/>
          <w:sz w:val="24"/>
          <w:szCs w:val="24"/>
        </w:rPr>
      </w:pPr>
      <w:r>
        <w:rPr>
          <w:rFonts w:ascii="Times New Roman" w:hAnsi="Times New Roman" w:cs="Times New Roman"/>
          <w:sz w:val="24"/>
          <w:szCs w:val="24"/>
        </w:rPr>
        <w:t xml:space="preserve">Considering the time needed for preparing and executing the various steps of the ex-ante assessment, it is recommended for the interested candidates to </w:t>
      </w:r>
      <w:r w:rsidR="00AE7F6D">
        <w:rPr>
          <w:rFonts w:ascii="Times New Roman" w:hAnsi="Times New Roman" w:cs="Times New Roman"/>
          <w:b/>
          <w:sz w:val="24"/>
          <w:szCs w:val="24"/>
        </w:rPr>
        <w:t xml:space="preserve">prepare themselves </w:t>
      </w:r>
      <w:r w:rsidRPr="00A04952">
        <w:rPr>
          <w:rFonts w:ascii="Times New Roman" w:hAnsi="Times New Roman" w:cs="Times New Roman"/>
          <w:b/>
          <w:sz w:val="24"/>
          <w:szCs w:val="24"/>
        </w:rPr>
        <w:t>immediately</w:t>
      </w:r>
      <w:r>
        <w:rPr>
          <w:rFonts w:ascii="Times New Roman" w:hAnsi="Times New Roman" w:cs="Times New Roman"/>
          <w:sz w:val="24"/>
          <w:szCs w:val="24"/>
        </w:rPr>
        <w:t xml:space="preserve"> by:</w:t>
      </w:r>
    </w:p>
    <w:p w14:paraId="4486D11C" w14:textId="77777777" w:rsidR="00E10B4F" w:rsidRDefault="00E10B4F" w:rsidP="00B815F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reading carefully the Terms of References (ToRs)</w:t>
      </w:r>
      <w:r w:rsidR="00A04952">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adopted </w:t>
      </w:r>
      <w:r w:rsidR="0020352C">
        <w:rPr>
          <w:rFonts w:ascii="Times New Roman" w:hAnsi="Times New Roman" w:cs="Times New Roman"/>
          <w:sz w:val="24"/>
          <w:szCs w:val="24"/>
        </w:rPr>
        <w:t>in the</w:t>
      </w:r>
      <w:r>
        <w:rPr>
          <w:rFonts w:ascii="Times New Roman" w:hAnsi="Times New Roman" w:cs="Times New Roman"/>
          <w:sz w:val="24"/>
          <w:szCs w:val="24"/>
        </w:rPr>
        <w:t xml:space="preserve"> </w:t>
      </w:r>
      <w:r w:rsidR="00B815F6" w:rsidRPr="00B815F6">
        <w:rPr>
          <w:rFonts w:ascii="Times New Roman" w:hAnsi="Times New Roman" w:cs="Times New Roman"/>
          <w:sz w:val="24"/>
          <w:szCs w:val="24"/>
        </w:rPr>
        <w:t>Commission Decision C(2019) 2882 of 17 April 2019</w:t>
      </w:r>
      <w:r w:rsidR="00B815F6">
        <w:rPr>
          <w:rFonts w:ascii="Times New Roman" w:hAnsi="Times New Roman" w:cs="Times New Roman"/>
          <w:sz w:val="24"/>
          <w:szCs w:val="24"/>
        </w:rPr>
        <w:t xml:space="preserve"> </w:t>
      </w:r>
      <w:r>
        <w:rPr>
          <w:rFonts w:ascii="Times New Roman" w:hAnsi="Times New Roman" w:cs="Times New Roman"/>
          <w:sz w:val="24"/>
          <w:szCs w:val="24"/>
        </w:rPr>
        <w:t xml:space="preserve">which gives all the details on the </w:t>
      </w:r>
      <w:r w:rsidR="00053480">
        <w:rPr>
          <w:rFonts w:ascii="Times New Roman" w:hAnsi="Times New Roman" w:cs="Times New Roman"/>
          <w:sz w:val="24"/>
          <w:szCs w:val="24"/>
        </w:rPr>
        <w:t xml:space="preserve">various </w:t>
      </w:r>
      <w:r>
        <w:rPr>
          <w:rFonts w:ascii="Times New Roman" w:hAnsi="Times New Roman" w:cs="Times New Roman"/>
          <w:sz w:val="24"/>
          <w:szCs w:val="24"/>
        </w:rPr>
        <w:t>steps of the pillar assessment</w:t>
      </w:r>
      <w:r w:rsidR="00053480">
        <w:rPr>
          <w:rFonts w:ascii="Times New Roman" w:hAnsi="Times New Roman" w:cs="Times New Roman"/>
          <w:sz w:val="24"/>
          <w:szCs w:val="24"/>
        </w:rPr>
        <w:t>;</w:t>
      </w:r>
    </w:p>
    <w:p w14:paraId="0310F7AB" w14:textId="77777777" w:rsidR="00053480" w:rsidRDefault="00053480" w:rsidP="00053480">
      <w:pPr>
        <w:pStyle w:val="ListParagraph"/>
        <w:jc w:val="both"/>
        <w:rPr>
          <w:rFonts w:ascii="Times New Roman" w:hAnsi="Times New Roman" w:cs="Times New Roman"/>
          <w:sz w:val="24"/>
          <w:szCs w:val="24"/>
        </w:rPr>
      </w:pPr>
    </w:p>
    <w:p w14:paraId="3CF9FC17" w14:textId="77777777" w:rsidR="00053480" w:rsidRDefault="00053480" w:rsidP="00E10B4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identifying possible external independent auditors </w:t>
      </w:r>
      <w:r w:rsidR="00BC1E53">
        <w:rPr>
          <w:rFonts w:ascii="Times New Roman" w:hAnsi="Times New Roman" w:cs="Times New Roman"/>
          <w:sz w:val="24"/>
          <w:szCs w:val="24"/>
        </w:rPr>
        <w:t>compliant</w:t>
      </w:r>
      <w:r w:rsidR="00B815F6">
        <w:rPr>
          <w:rFonts w:ascii="Times New Roman" w:hAnsi="Times New Roman" w:cs="Times New Roman"/>
          <w:sz w:val="24"/>
          <w:szCs w:val="24"/>
        </w:rPr>
        <w:t xml:space="preserve"> with these ToRs and which are used to make EU pillar </w:t>
      </w:r>
      <w:r w:rsidR="00513AD7">
        <w:rPr>
          <w:rFonts w:ascii="Times New Roman" w:hAnsi="Times New Roman" w:cs="Times New Roman"/>
          <w:sz w:val="24"/>
          <w:szCs w:val="24"/>
        </w:rPr>
        <w:t>assessments</w:t>
      </w:r>
      <w:r w:rsidR="00B815F6">
        <w:rPr>
          <w:rFonts w:ascii="Times New Roman" w:hAnsi="Times New Roman" w:cs="Times New Roman"/>
          <w:sz w:val="24"/>
          <w:szCs w:val="24"/>
        </w:rPr>
        <w:t>;</w:t>
      </w:r>
    </w:p>
    <w:p w14:paraId="5D48D533" w14:textId="77777777" w:rsidR="00B815F6" w:rsidRPr="00B815F6" w:rsidRDefault="00B815F6" w:rsidP="00B815F6">
      <w:pPr>
        <w:pStyle w:val="ListParagraph"/>
        <w:rPr>
          <w:rFonts w:ascii="Times New Roman" w:hAnsi="Times New Roman" w:cs="Times New Roman"/>
          <w:sz w:val="24"/>
          <w:szCs w:val="24"/>
        </w:rPr>
      </w:pPr>
    </w:p>
    <w:p w14:paraId="4E27E403" w14:textId="77777777" w:rsidR="00B815F6" w:rsidRPr="00E10B4F" w:rsidRDefault="00B815F6" w:rsidP="00E10B4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identifying the appropriate procurement procedure to recruit the external independent </w:t>
      </w:r>
      <w:r w:rsidR="0020352C">
        <w:rPr>
          <w:rFonts w:ascii="Times New Roman" w:hAnsi="Times New Roman" w:cs="Times New Roman"/>
          <w:sz w:val="24"/>
          <w:szCs w:val="24"/>
        </w:rPr>
        <w:t xml:space="preserve">auditors </w:t>
      </w:r>
      <w:r>
        <w:rPr>
          <w:rFonts w:ascii="Times New Roman" w:hAnsi="Times New Roman" w:cs="Times New Roman"/>
          <w:sz w:val="24"/>
          <w:szCs w:val="24"/>
        </w:rPr>
        <w:t>and preparing the necessary procurement documents.</w:t>
      </w:r>
    </w:p>
    <w:p w14:paraId="6B6322CD" w14:textId="2E414388" w:rsidR="001B1FB4" w:rsidRDefault="00513AD7" w:rsidP="007809FD">
      <w:pPr>
        <w:jc w:val="both"/>
        <w:rPr>
          <w:rFonts w:ascii="Times New Roman" w:hAnsi="Times New Roman" w:cs="Times New Roman"/>
          <w:sz w:val="24"/>
          <w:szCs w:val="24"/>
        </w:rPr>
      </w:pPr>
      <w:r>
        <w:rPr>
          <w:rFonts w:ascii="Times New Roman" w:hAnsi="Times New Roman" w:cs="Times New Roman"/>
          <w:sz w:val="24"/>
          <w:szCs w:val="24"/>
        </w:rPr>
        <w:t xml:space="preserve">Once the </w:t>
      </w:r>
      <w:r w:rsidR="00127F2E">
        <w:rPr>
          <w:rFonts w:ascii="Times New Roman" w:hAnsi="Times New Roman" w:cs="Times New Roman"/>
          <w:sz w:val="24"/>
          <w:szCs w:val="24"/>
        </w:rPr>
        <w:t xml:space="preserve">eligibility </w:t>
      </w:r>
      <w:r>
        <w:rPr>
          <w:rFonts w:ascii="Times New Roman" w:hAnsi="Times New Roman" w:cs="Times New Roman"/>
          <w:sz w:val="24"/>
          <w:szCs w:val="24"/>
        </w:rPr>
        <w:t xml:space="preserve">decision will be notified </w:t>
      </w:r>
      <w:r w:rsidR="00127F2E">
        <w:rPr>
          <w:rFonts w:ascii="Times New Roman" w:hAnsi="Times New Roman" w:cs="Times New Roman"/>
          <w:sz w:val="24"/>
          <w:szCs w:val="24"/>
        </w:rPr>
        <w:t xml:space="preserve">by the Commission </w:t>
      </w:r>
      <w:r>
        <w:rPr>
          <w:rFonts w:ascii="Times New Roman" w:hAnsi="Times New Roman" w:cs="Times New Roman"/>
          <w:sz w:val="24"/>
          <w:szCs w:val="24"/>
        </w:rPr>
        <w:t>to the candidate entity,</w:t>
      </w:r>
      <w:r w:rsidR="0000178A" w:rsidRPr="0000178A">
        <w:rPr>
          <w:rStyle w:val="FootnoteReference"/>
          <w:rFonts w:ascii="Times New Roman" w:hAnsi="Times New Roman" w:cs="Times New Roman"/>
          <w:sz w:val="24"/>
          <w:szCs w:val="24"/>
        </w:rPr>
        <w:t xml:space="preserve"> </w:t>
      </w:r>
      <w:r w:rsidR="0000178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latter can start immediately the appropriate procurement process</w:t>
      </w:r>
      <w:r w:rsidR="00AE7F6D">
        <w:rPr>
          <w:rFonts w:ascii="Times New Roman" w:hAnsi="Times New Roman" w:cs="Times New Roman"/>
          <w:sz w:val="24"/>
          <w:szCs w:val="24"/>
        </w:rPr>
        <w:t xml:space="preserve"> to recruit an independent external auditor</w:t>
      </w:r>
      <w:r>
        <w:rPr>
          <w:rFonts w:ascii="Times New Roman" w:hAnsi="Times New Roman" w:cs="Times New Roman"/>
          <w:sz w:val="24"/>
          <w:szCs w:val="24"/>
        </w:rPr>
        <w:t>.</w:t>
      </w:r>
      <w:r w:rsidR="0020352C">
        <w:rPr>
          <w:rFonts w:ascii="Times New Roman" w:hAnsi="Times New Roman" w:cs="Times New Roman"/>
          <w:sz w:val="24"/>
          <w:szCs w:val="24"/>
        </w:rPr>
        <w:t xml:space="preserve"> </w:t>
      </w:r>
    </w:p>
    <w:p w14:paraId="553AF8E6" w14:textId="77777777" w:rsidR="00E10B4F" w:rsidRDefault="001B1FB4" w:rsidP="007809FD">
      <w:pPr>
        <w:jc w:val="both"/>
        <w:rPr>
          <w:rFonts w:ascii="Times New Roman" w:hAnsi="Times New Roman" w:cs="Times New Roman"/>
          <w:sz w:val="24"/>
          <w:szCs w:val="24"/>
        </w:rPr>
      </w:pPr>
      <w:r>
        <w:rPr>
          <w:rFonts w:ascii="Times New Roman" w:hAnsi="Times New Roman" w:cs="Times New Roman"/>
          <w:sz w:val="24"/>
          <w:szCs w:val="24"/>
        </w:rPr>
        <w:t>A</w:t>
      </w:r>
      <w:r w:rsidRPr="001B1FB4">
        <w:rPr>
          <w:rFonts w:ascii="Times New Roman" w:hAnsi="Times New Roman" w:cs="Times New Roman"/>
          <w:sz w:val="24"/>
          <w:szCs w:val="24"/>
        </w:rPr>
        <w:t>ll costs for the external independent audit has to be borne by the candidate entity</w:t>
      </w:r>
      <w:r>
        <w:rPr>
          <w:rFonts w:ascii="Times New Roman" w:hAnsi="Times New Roman" w:cs="Times New Roman"/>
          <w:sz w:val="24"/>
          <w:szCs w:val="24"/>
        </w:rPr>
        <w:t>.</w:t>
      </w:r>
    </w:p>
    <w:p w14:paraId="526B7515" w14:textId="77777777" w:rsidR="00D66E5B" w:rsidRPr="00D66E5B" w:rsidRDefault="00107BE9" w:rsidP="00513AD7">
      <w:pPr>
        <w:pStyle w:val="Heading2"/>
        <w:spacing w:before="240" w:after="120"/>
        <w:ind w:left="431" w:hanging="431"/>
        <w:rPr>
          <w:b/>
        </w:rPr>
      </w:pPr>
      <w:r>
        <w:rPr>
          <w:b/>
          <w:bCs/>
          <w:szCs w:val="24"/>
        </w:rPr>
        <w:t xml:space="preserve">Passing </w:t>
      </w:r>
      <w:r>
        <w:rPr>
          <w:b/>
        </w:rPr>
        <w:t xml:space="preserve"> a </w:t>
      </w:r>
      <w:r w:rsidR="00D66E5B" w:rsidRPr="00D66E5B">
        <w:rPr>
          <w:b/>
        </w:rPr>
        <w:t>pillar-assess</w:t>
      </w:r>
      <w:r>
        <w:rPr>
          <w:b/>
        </w:rPr>
        <w:t xml:space="preserve">ment </w:t>
      </w:r>
      <w:r w:rsidR="00D66E5B">
        <w:rPr>
          <w:b/>
        </w:rPr>
        <w:t xml:space="preserve">is not sufficient </w:t>
      </w:r>
      <w:r>
        <w:rPr>
          <w:b/>
        </w:rPr>
        <w:t>to become</w:t>
      </w:r>
      <w:r w:rsidR="00D66E5B">
        <w:rPr>
          <w:b/>
        </w:rPr>
        <w:t xml:space="preserve"> an implementing partner</w:t>
      </w:r>
      <w:r>
        <w:rPr>
          <w:b/>
        </w:rPr>
        <w:t xml:space="preserve"> under EDF</w:t>
      </w:r>
    </w:p>
    <w:p w14:paraId="7F77852F" w14:textId="15C0671E" w:rsidR="00821F73" w:rsidRDefault="00821F73" w:rsidP="007809FD">
      <w:pPr>
        <w:jc w:val="both"/>
        <w:rPr>
          <w:rFonts w:ascii="Times New Roman" w:hAnsi="Times New Roman" w:cs="Times New Roman"/>
          <w:sz w:val="24"/>
          <w:szCs w:val="24"/>
        </w:rPr>
      </w:pPr>
      <w:r>
        <w:rPr>
          <w:rFonts w:ascii="Times New Roman" w:hAnsi="Times New Roman" w:cs="Times New Roman"/>
          <w:sz w:val="24"/>
          <w:szCs w:val="24"/>
        </w:rPr>
        <w:t xml:space="preserve">The successful outcome of the pillar assessment does not give rise to any rights to sign a Contribution Agreement under EDF. The decision to entrust tasks in indirect management mode will be taken by the Commission on </w:t>
      </w:r>
      <w:r w:rsidR="00127F2E">
        <w:rPr>
          <w:rFonts w:ascii="Times New Roman" w:hAnsi="Times New Roman" w:cs="Times New Roman"/>
          <w:sz w:val="24"/>
          <w:szCs w:val="24"/>
        </w:rPr>
        <w:t>an</w:t>
      </w:r>
      <w:r w:rsidR="00D66E5B">
        <w:rPr>
          <w:rFonts w:ascii="Times New Roman" w:hAnsi="Times New Roman" w:cs="Times New Roman"/>
          <w:sz w:val="24"/>
          <w:szCs w:val="24"/>
        </w:rPr>
        <w:t xml:space="preserve"> </w:t>
      </w:r>
      <w:r w:rsidR="00A04952">
        <w:rPr>
          <w:rFonts w:ascii="Times New Roman" w:hAnsi="Times New Roman" w:cs="Times New Roman"/>
          <w:sz w:val="24"/>
          <w:szCs w:val="24"/>
        </w:rPr>
        <w:t>action</w:t>
      </w:r>
      <w:r w:rsidR="00D66E5B">
        <w:rPr>
          <w:rFonts w:ascii="Times New Roman" w:hAnsi="Times New Roman" w:cs="Times New Roman"/>
          <w:sz w:val="24"/>
          <w:szCs w:val="24"/>
        </w:rPr>
        <w:t>-by-</w:t>
      </w:r>
      <w:r w:rsidR="00A04952">
        <w:rPr>
          <w:rFonts w:ascii="Times New Roman" w:hAnsi="Times New Roman" w:cs="Times New Roman"/>
          <w:sz w:val="24"/>
          <w:szCs w:val="24"/>
        </w:rPr>
        <w:t>action</w:t>
      </w:r>
      <w:r w:rsidR="00D66E5B">
        <w:rPr>
          <w:rFonts w:ascii="Times New Roman" w:hAnsi="Times New Roman" w:cs="Times New Roman"/>
          <w:sz w:val="24"/>
          <w:szCs w:val="24"/>
        </w:rPr>
        <w:t xml:space="preserve"> </w:t>
      </w:r>
      <w:r>
        <w:rPr>
          <w:rFonts w:ascii="Times New Roman" w:hAnsi="Times New Roman" w:cs="Times New Roman"/>
          <w:sz w:val="24"/>
          <w:szCs w:val="24"/>
        </w:rPr>
        <w:t xml:space="preserve">basis and in consideration of the </w:t>
      </w:r>
      <w:r w:rsidR="00D66E5B">
        <w:rPr>
          <w:rFonts w:ascii="Times New Roman" w:hAnsi="Times New Roman" w:cs="Times New Roman"/>
          <w:sz w:val="24"/>
          <w:szCs w:val="24"/>
        </w:rPr>
        <w:t xml:space="preserve">added-value for the implementation of the </w:t>
      </w:r>
      <w:r w:rsidR="00A04952">
        <w:rPr>
          <w:rFonts w:ascii="Times New Roman" w:hAnsi="Times New Roman" w:cs="Times New Roman"/>
          <w:sz w:val="24"/>
          <w:szCs w:val="24"/>
        </w:rPr>
        <w:t>action</w:t>
      </w:r>
      <w:r w:rsidR="00D66E5B">
        <w:rPr>
          <w:rFonts w:ascii="Times New Roman" w:hAnsi="Times New Roman" w:cs="Times New Roman"/>
          <w:sz w:val="24"/>
          <w:szCs w:val="24"/>
        </w:rPr>
        <w:t xml:space="preserve"> concerned. For this further decision</w:t>
      </w:r>
      <w:r w:rsidR="00127F2E">
        <w:rPr>
          <w:rFonts w:ascii="Times New Roman" w:hAnsi="Times New Roman" w:cs="Times New Roman"/>
          <w:sz w:val="24"/>
          <w:szCs w:val="24"/>
        </w:rPr>
        <w:t>,</w:t>
      </w:r>
      <w:r w:rsidR="00D66E5B">
        <w:rPr>
          <w:rFonts w:ascii="Times New Roman" w:hAnsi="Times New Roman" w:cs="Times New Roman"/>
          <w:sz w:val="24"/>
          <w:szCs w:val="24"/>
        </w:rPr>
        <w:t xml:space="preserve"> the Commission will assess this added value in particular against the following criteria:</w:t>
      </w:r>
    </w:p>
    <w:p w14:paraId="273D651F" w14:textId="77777777" w:rsidR="00127F2E" w:rsidRDefault="00D66E5B" w:rsidP="00D66E5B">
      <w:pPr>
        <w:jc w:val="both"/>
        <w:rPr>
          <w:rFonts w:ascii="Times New Roman" w:hAnsi="Times New Roman" w:cs="Times New Roman"/>
          <w:sz w:val="24"/>
          <w:szCs w:val="24"/>
        </w:rPr>
      </w:pPr>
      <w:r w:rsidRPr="00D66E5B">
        <w:rPr>
          <w:rFonts w:ascii="Times New Roman" w:hAnsi="Times New Roman" w:cs="Times New Roman"/>
          <w:sz w:val="24"/>
          <w:szCs w:val="24"/>
        </w:rPr>
        <w:t>-</w:t>
      </w:r>
      <w:r w:rsidRPr="00D66E5B">
        <w:rPr>
          <w:rFonts w:ascii="Times New Roman" w:hAnsi="Times New Roman" w:cs="Times New Roman"/>
          <w:sz w:val="24"/>
          <w:szCs w:val="24"/>
        </w:rPr>
        <w:tab/>
      </w:r>
      <w:r w:rsidR="00127F2E" w:rsidRPr="00D66E5B">
        <w:rPr>
          <w:rFonts w:ascii="Times New Roman" w:hAnsi="Times New Roman" w:cs="Times New Roman"/>
          <w:sz w:val="24"/>
          <w:szCs w:val="24"/>
        </w:rPr>
        <w:t xml:space="preserve">the efficiency </w:t>
      </w:r>
      <w:r w:rsidR="00E44DD9">
        <w:rPr>
          <w:rFonts w:ascii="Times New Roman" w:hAnsi="Times New Roman" w:cs="Times New Roman"/>
          <w:sz w:val="24"/>
          <w:szCs w:val="24"/>
        </w:rPr>
        <w:t xml:space="preserve">gains </w:t>
      </w:r>
      <w:r w:rsidR="00127F2E">
        <w:rPr>
          <w:rFonts w:ascii="Times New Roman" w:hAnsi="Times New Roman" w:cs="Times New Roman"/>
          <w:sz w:val="24"/>
          <w:szCs w:val="24"/>
        </w:rPr>
        <w:t>of indirect management for the action’s</w:t>
      </w:r>
      <w:r w:rsidR="00127F2E" w:rsidRPr="00D66E5B">
        <w:rPr>
          <w:rFonts w:ascii="Times New Roman" w:hAnsi="Times New Roman" w:cs="Times New Roman"/>
          <w:sz w:val="24"/>
          <w:szCs w:val="24"/>
        </w:rPr>
        <w:t xml:space="preserve"> implementation</w:t>
      </w:r>
      <w:r w:rsidR="001B1FB4">
        <w:rPr>
          <w:rFonts w:ascii="Times New Roman" w:hAnsi="Times New Roman" w:cs="Times New Roman"/>
          <w:sz w:val="24"/>
          <w:szCs w:val="24"/>
        </w:rPr>
        <w:t xml:space="preserve"> compared to direct management by the Commission</w:t>
      </w:r>
      <w:r w:rsidR="00127F2E">
        <w:rPr>
          <w:rFonts w:ascii="Times New Roman" w:hAnsi="Times New Roman" w:cs="Times New Roman"/>
          <w:sz w:val="24"/>
          <w:szCs w:val="24"/>
        </w:rPr>
        <w:t>;</w:t>
      </w:r>
    </w:p>
    <w:p w14:paraId="795D1247" w14:textId="77777777" w:rsidR="00D66E5B" w:rsidRPr="00D66E5B" w:rsidRDefault="00127F2E" w:rsidP="00D66E5B">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66E5B" w:rsidRPr="00D66E5B">
        <w:rPr>
          <w:rFonts w:ascii="Times New Roman" w:hAnsi="Times New Roman" w:cs="Times New Roman"/>
          <w:sz w:val="24"/>
          <w:szCs w:val="24"/>
        </w:rPr>
        <w:t xml:space="preserve">the experience of the entrusted entity in the </w:t>
      </w:r>
      <w:r w:rsidR="00D66E5B">
        <w:rPr>
          <w:rFonts w:ascii="Times New Roman" w:hAnsi="Times New Roman" w:cs="Times New Roman"/>
          <w:sz w:val="24"/>
          <w:szCs w:val="24"/>
        </w:rPr>
        <w:t xml:space="preserve">specific defence </w:t>
      </w:r>
      <w:r w:rsidR="00D66E5B" w:rsidRPr="00D66E5B">
        <w:rPr>
          <w:rFonts w:ascii="Times New Roman" w:hAnsi="Times New Roman" w:cs="Times New Roman"/>
          <w:sz w:val="24"/>
          <w:szCs w:val="24"/>
        </w:rPr>
        <w:t>field concerned</w:t>
      </w:r>
      <w:r w:rsidR="00D66E5B">
        <w:rPr>
          <w:rFonts w:ascii="Times New Roman" w:hAnsi="Times New Roman" w:cs="Times New Roman"/>
          <w:sz w:val="24"/>
          <w:szCs w:val="24"/>
        </w:rPr>
        <w:t>;</w:t>
      </w:r>
    </w:p>
    <w:p w14:paraId="02931A98" w14:textId="77777777" w:rsidR="00D66E5B" w:rsidRPr="00D66E5B" w:rsidRDefault="00D66E5B" w:rsidP="00D66E5B">
      <w:pPr>
        <w:jc w:val="both"/>
        <w:rPr>
          <w:rFonts w:ascii="Times New Roman" w:hAnsi="Times New Roman" w:cs="Times New Roman"/>
          <w:sz w:val="24"/>
          <w:szCs w:val="24"/>
        </w:rPr>
      </w:pPr>
      <w:r w:rsidRPr="00D66E5B">
        <w:rPr>
          <w:rFonts w:ascii="Times New Roman" w:hAnsi="Times New Roman" w:cs="Times New Roman"/>
          <w:sz w:val="24"/>
          <w:szCs w:val="24"/>
        </w:rPr>
        <w:t>-</w:t>
      </w:r>
      <w:r w:rsidRPr="00D66E5B">
        <w:rPr>
          <w:rFonts w:ascii="Times New Roman" w:hAnsi="Times New Roman" w:cs="Times New Roman"/>
          <w:sz w:val="24"/>
          <w:szCs w:val="24"/>
        </w:rPr>
        <w:tab/>
        <w:t>the absence of conflict of interests</w:t>
      </w:r>
      <w:r>
        <w:rPr>
          <w:rFonts w:ascii="Times New Roman" w:hAnsi="Times New Roman" w:cs="Times New Roman"/>
          <w:sz w:val="24"/>
          <w:szCs w:val="24"/>
        </w:rPr>
        <w:t>;</w:t>
      </w:r>
    </w:p>
    <w:p w14:paraId="606FE2CD" w14:textId="77777777" w:rsidR="00D66E5B" w:rsidRDefault="00D66E5B" w:rsidP="00D66E5B">
      <w:pPr>
        <w:jc w:val="both"/>
        <w:rPr>
          <w:rFonts w:ascii="Times New Roman" w:hAnsi="Times New Roman" w:cs="Times New Roman"/>
          <w:sz w:val="24"/>
          <w:szCs w:val="24"/>
        </w:rPr>
      </w:pPr>
      <w:r w:rsidRPr="00D66E5B">
        <w:rPr>
          <w:rFonts w:ascii="Times New Roman" w:hAnsi="Times New Roman" w:cs="Times New Roman"/>
          <w:sz w:val="24"/>
          <w:szCs w:val="24"/>
        </w:rPr>
        <w:t>-</w:t>
      </w:r>
      <w:r w:rsidRPr="00D66E5B">
        <w:rPr>
          <w:rFonts w:ascii="Times New Roman" w:hAnsi="Times New Roman" w:cs="Times New Roman"/>
          <w:sz w:val="24"/>
          <w:szCs w:val="24"/>
        </w:rPr>
        <w:tab/>
        <w:t>the level of M</w:t>
      </w:r>
      <w:r>
        <w:rPr>
          <w:rFonts w:ascii="Times New Roman" w:hAnsi="Times New Roman" w:cs="Times New Roman"/>
          <w:sz w:val="24"/>
          <w:szCs w:val="24"/>
        </w:rPr>
        <w:t xml:space="preserve">ember States </w:t>
      </w:r>
      <w:r w:rsidRPr="00D66E5B">
        <w:rPr>
          <w:rFonts w:ascii="Times New Roman" w:hAnsi="Times New Roman" w:cs="Times New Roman"/>
          <w:sz w:val="24"/>
          <w:szCs w:val="24"/>
        </w:rPr>
        <w:t>co-financing</w:t>
      </w:r>
    </w:p>
    <w:p w14:paraId="3F5CCB69" w14:textId="77777777" w:rsidR="00D66E5B" w:rsidRDefault="00D66E5B" w:rsidP="00D66E5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66E5B">
        <w:rPr>
          <w:rFonts w:ascii="Times New Roman" w:hAnsi="Times New Roman" w:cs="Times New Roman"/>
          <w:sz w:val="24"/>
          <w:szCs w:val="24"/>
        </w:rPr>
        <w:t>the cost benefit analysis for EU budget.</w:t>
      </w:r>
    </w:p>
    <w:p w14:paraId="65F44C11" w14:textId="77777777" w:rsidR="001025F3" w:rsidRPr="00507B48" w:rsidRDefault="00513AD7" w:rsidP="00EA632C">
      <w:pPr>
        <w:pStyle w:val="Heading1"/>
        <w:spacing w:after="240"/>
        <w:ind w:left="431" w:hanging="431"/>
        <w:rPr>
          <w:sz w:val="24"/>
          <w:szCs w:val="24"/>
        </w:rPr>
      </w:pPr>
      <w:bookmarkStart w:id="4" w:name="_Toc68877360"/>
      <w:r>
        <w:rPr>
          <w:sz w:val="24"/>
          <w:szCs w:val="24"/>
        </w:rPr>
        <w:t>Application</w:t>
      </w:r>
      <w:r w:rsidR="001025F3" w:rsidRPr="00507B48">
        <w:rPr>
          <w:sz w:val="24"/>
          <w:szCs w:val="24"/>
        </w:rPr>
        <w:t xml:space="preserve"> and select</w:t>
      </w:r>
      <w:r w:rsidR="00283B9C" w:rsidRPr="00507B48">
        <w:rPr>
          <w:sz w:val="24"/>
          <w:szCs w:val="24"/>
        </w:rPr>
        <w:t>i</w:t>
      </w:r>
      <w:r w:rsidR="001025F3" w:rsidRPr="00507B48">
        <w:rPr>
          <w:sz w:val="24"/>
          <w:szCs w:val="24"/>
        </w:rPr>
        <w:t>on proce</w:t>
      </w:r>
      <w:r w:rsidR="00A11977" w:rsidRPr="00507B48">
        <w:rPr>
          <w:sz w:val="24"/>
          <w:szCs w:val="24"/>
        </w:rPr>
        <w:t>dure</w:t>
      </w:r>
      <w:bookmarkEnd w:id="4"/>
    </w:p>
    <w:p w14:paraId="6817089B" w14:textId="77777777" w:rsidR="005E5178" w:rsidRPr="00507B48" w:rsidRDefault="00513AD7" w:rsidP="00D016CF">
      <w:pPr>
        <w:pStyle w:val="Heading2"/>
        <w:spacing w:before="0" w:after="120"/>
        <w:ind w:left="431" w:hanging="431"/>
        <w:rPr>
          <w:b/>
          <w:bCs/>
          <w:szCs w:val="24"/>
        </w:rPr>
      </w:pPr>
      <w:bookmarkStart w:id="5" w:name="_Toc68877361"/>
      <w:r>
        <w:rPr>
          <w:b/>
          <w:bCs/>
          <w:szCs w:val="24"/>
        </w:rPr>
        <w:t>Application</w:t>
      </w:r>
      <w:r w:rsidR="00303BAF" w:rsidRPr="00507B48">
        <w:rPr>
          <w:b/>
          <w:bCs/>
          <w:szCs w:val="24"/>
        </w:rPr>
        <w:t xml:space="preserve"> procedure</w:t>
      </w:r>
      <w:bookmarkEnd w:id="5"/>
    </w:p>
    <w:p w14:paraId="56B219BE" w14:textId="7B3B7555" w:rsidR="00513AD7" w:rsidRDefault="00513AD7" w:rsidP="00513AD7">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Publication of the Call: </w:t>
      </w:r>
      <w:r w:rsidR="00107BE9">
        <w:rPr>
          <w:rFonts w:ascii="Times New Roman" w:hAnsi="Times New Roman" w:cs="Times New Roman"/>
          <w:sz w:val="24"/>
          <w:szCs w:val="24"/>
        </w:rPr>
        <w:t>t</w:t>
      </w:r>
      <w:r w:rsidRPr="00513AD7">
        <w:rPr>
          <w:rFonts w:ascii="Times New Roman" w:hAnsi="Times New Roman" w:cs="Times New Roman"/>
          <w:sz w:val="24"/>
          <w:szCs w:val="24"/>
        </w:rPr>
        <w:t>h</w:t>
      </w:r>
      <w:r w:rsidR="00107BE9">
        <w:rPr>
          <w:rFonts w:ascii="Times New Roman" w:hAnsi="Times New Roman" w:cs="Times New Roman"/>
          <w:sz w:val="24"/>
          <w:szCs w:val="24"/>
        </w:rPr>
        <w:t>is</w:t>
      </w:r>
      <w:r w:rsidRPr="00513AD7">
        <w:rPr>
          <w:rFonts w:ascii="Times New Roman" w:hAnsi="Times New Roman" w:cs="Times New Roman"/>
          <w:sz w:val="24"/>
          <w:szCs w:val="24"/>
        </w:rPr>
        <w:t xml:space="preserve"> Call </w:t>
      </w:r>
      <w:r w:rsidRPr="0000178A">
        <w:rPr>
          <w:rFonts w:ascii="Times New Roman" w:hAnsi="Times New Roman"/>
          <w:sz w:val="24"/>
        </w:rPr>
        <w:t xml:space="preserve">will </w:t>
      </w:r>
      <w:r w:rsidRPr="0000178A">
        <w:rPr>
          <w:rFonts w:ascii="Times New Roman" w:hAnsi="Times New Roman"/>
          <w:b/>
          <w:sz w:val="24"/>
          <w:u w:val="single"/>
        </w:rPr>
        <w:t>not</w:t>
      </w:r>
      <w:r w:rsidRPr="0000178A">
        <w:rPr>
          <w:rFonts w:ascii="Times New Roman" w:hAnsi="Times New Roman"/>
          <w:sz w:val="24"/>
        </w:rPr>
        <w:t xml:space="preserve"> be </w:t>
      </w:r>
      <w:r w:rsidRPr="00180165">
        <w:rPr>
          <w:rFonts w:ascii="Times New Roman" w:hAnsi="Times New Roman"/>
          <w:sz w:val="24"/>
        </w:rPr>
        <w:t>published</w:t>
      </w:r>
      <w:r w:rsidR="001B1FB4" w:rsidRPr="00180165">
        <w:rPr>
          <w:rFonts w:ascii="Times New Roman" w:hAnsi="Times New Roman"/>
          <w:sz w:val="24"/>
        </w:rPr>
        <w:t xml:space="preserve"> in the Official Journal or </w:t>
      </w:r>
      <w:r w:rsidR="00840049" w:rsidRPr="00180165">
        <w:rPr>
          <w:rFonts w:ascii="Times New Roman" w:hAnsi="Times New Roman" w:cs="Times New Roman"/>
          <w:sz w:val="24"/>
          <w:szCs w:val="24"/>
        </w:rPr>
        <w:t>on</w:t>
      </w:r>
      <w:r w:rsidR="001B1FB4" w:rsidRPr="00180165">
        <w:rPr>
          <w:rFonts w:ascii="Times New Roman" w:hAnsi="Times New Roman"/>
          <w:sz w:val="24"/>
        </w:rPr>
        <w:t xml:space="preserve"> the internet website of the Commission</w:t>
      </w:r>
      <w:r w:rsidRPr="00513AD7">
        <w:rPr>
          <w:rFonts w:ascii="Times New Roman" w:hAnsi="Times New Roman" w:cs="Times New Roman"/>
          <w:sz w:val="24"/>
          <w:szCs w:val="24"/>
        </w:rPr>
        <w:t xml:space="preserve">. </w:t>
      </w:r>
      <w:r w:rsidRPr="0000178A">
        <w:rPr>
          <w:rFonts w:ascii="Times New Roman" w:hAnsi="Times New Roman"/>
          <w:sz w:val="24"/>
        </w:rPr>
        <w:t xml:space="preserve">It will be sent </w:t>
      </w:r>
      <w:r w:rsidR="00840049" w:rsidRPr="0000178A">
        <w:rPr>
          <w:rFonts w:ascii="Times New Roman" w:hAnsi="Times New Roman" w:cs="Times New Roman"/>
          <w:sz w:val="24"/>
          <w:szCs w:val="24"/>
        </w:rPr>
        <w:t>mid-</w:t>
      </w:r>
      <w:r w:rsidRPr="0000178A">
        <w:rPr>
          <w:rFonts w:ascii="Times New Roman" w:hAnsi="Times New Roman"/>
          <w:sz w:val="24"/>
        </w:rPr>
        <w:t>Ju</w:t>
      </w:r>
      <w:r w:rsidR="00107BE9" w:rsidRPr="0000178A">
        <w:rPr>
          <w:rFonts w:ascii="Times New Roman" w:hAnsi="Times New Roman"/>
          <w:sz w:val="24"/>
        </w:rPr>
        <w:t>ly</w:t>
      </w:r>
      <w:r w:rsidRPr="0000178A">
        <w:rPr>
          <w:rFonts w:ascii="Times New Roman" w:hAnsi="Times New Roman"/>
          <w:sz w:val="24"/>
        </w:rPr>
        <w:t xml:space="preserve"> 2021</w:t>
      </w:r>
      <w:r>
        <w:rPr>
          <w:rFonts w:ascii="Times New Roman" w:hAnsi="Times New Roman" w:cs="Times New Roman"/>
          <w:sz w:val="24"/>
          <w:szCs w:val="24"/>
        </w:rPr>
        <w:t xml:space="preserve"> </w:t>
      </w:r>
      <w:r w:rsidRPr="00513AD7">
        <w:rPr>
          <w:rFonts w:ascii="Times New Roman" w:hAnsi="Times New Roman" w:cs="Times New Roman"/>
          <w:sz w:val="24"/>
          <w:szCs w:val="24"/>
        </w:rPr>
        <w:t>to all th</w:t>
      </w:r>
      <w:r>
        <w:rPr>
          <w:rFonts w:ascii="Times New Roman" w:hAnsi="Times New Roman" w:cs="Times New Roman"/>
          <w:sz w:val="24"/>
          <w:szCs w:val="24"/>
        </w:rPr>
        <w:t>e Member States and the EDF participating countries via their Permanent Representation in Brussels. It will also be sent to OCCAR and EDA.</w:t>
      </w:r>
    </w:p>
    <w:p w14:paraId="09927C65" w14:textId="1418256E" w:rsidR="00CB0E86" w:rsidRPr="00CB0E86" w:rsidRDefault="00CB0E86" w:rsidP="00CB0E86">
      <w:pPr>
        <w:spacing w:after="240"/>
        <w:jc w:val="both"/>
        <w:rPr>
          <w:rFonts w:ascii="Times New Roman" w:hAnsi="Times New Roman" w:cs="Times New Roman"/>
          <w:sz w:val="24"/>
          <w:szCs w:val="24"/>
        </w:rPr>
      </w:pPr>
      <w:r w:rsidRPr="00CB0E86">
        <w:rPr>
          <w:rFonts w:ascii="Times New Roman" w:hAnsi="Times New Roman" w:cs="Times New Roman"/>
          <w:b/>
          <w:sz w:val="24"/>
          <w:szCs w:val="24"/>
        </w:rPr>
        <w:t>Language:</w:t>
      </w:r>
      <w:r w:rsidRPr="00CB0E86">
        <w:rPr>
          <w:rFonts w:ascii="Times New Roman" w:hAnsi="Times New Roman" w:cs="Times New Roman"/>
          <w:sz w:val="24"/>
          <w:szCs w:val="24"/>
        </w:rPr>
        <w:t xml:space="preserve"> </w:t>
      </w:r>
      <w:r w:rsidR="00513AD7">
        <w:rPr>
          <w:rFonts w:ascii="Times New Roman" w:hAnsi="Times New Roman" w:cs="Times New Roman"/>
          <w:sz w:val="24"/>
          <w:szCs w:val="24"/>
        </w:rPr>
        <w:t>Application</w:t>
      </w:r>
      <w:r w:rsidRPr="00B13E6B">
        <w:rPr>
          <w:rFonts w:ascii="Times New Roman" w:hAnsi="Times New Roman" w:cs="Times New Roman"/>
          <w:sz w:val="24"/>
          <w:szCs w:val="24"/>
        </w:rPr>
        <w:t>s to this Call (the “</w:t>
      </w:r>
      <w:r w:rsidR="00513AD7">
        <w:rPr>
          <w:rFonts w:ascii="Times New Roman" w:hAnsi="Times New Roman" w:cs="Times New Roman"/>
          <w:sz w:val="24"/>
          <w:szCs w:val="24"/>
        </w:rPr>
        <w:t>application</w:t>
      </w:r>
      <w:r w:rsidRPr="00B13E6B">
        <w:rPr>
          <w:rFonts w:ascii="Times New Roman" w:hAnsi="Times New Roman" w:cs="Times New Roman"/>
          <w:sz w:val="24"/>
          <w:szCs w:val="24"/>
        </w:rPr>
        <w:t>”) have to be prepared in one of the official languages of the European Union</w:t>
      </w:r>
      <w:r w:rsidR="00CD5265" w:rsidRPr="00B13E6B">
        <w:rPr>
          <w:rFonts w:ascii="Times New Roman" w:hAnsi="Times New Roman" w:cs="Times New Roman"/>
          <w:sz w:val="24"/>
          <w:szCs w:val="24"/>
        </w:rPr>
        <w:t xml:space="preserve">, following the templates enclosed in </w:t>
      </w:r>
      <w:r w:rsidR="00127F2E">
        <w:rPr>
          <w:rFonts w:ascii="Times New Roman" w:hAnsi="Times New Roman" w:cs="Times New Roman"/>
          <w:sz w:val="24"/>
          <w:szCs w:val="24"/>
        </w:rPr>
        <w:t xml:space="preserve">the </w:t>
      </w:r>
      <w:r w:rsidR="00CD5265" w:rsidRPr="00B13E6B">
        <w:rPr>
          <w:rFonts w:ascii="Times New Roman" w:hAnsi="Times New Roman" w:cs="Times New Roman"/>
          <w:sz w:val="24"/>
          <w:szCs w:val="24"/>
        </w:rPr>
        <w:t>Annex of this Call</w:t>
      </w:r>
      <w:r w:rsidRPr="00B13E6B">
        <w:rPr>
          <w:rFonts w:ascii="Times New Roman" w:hAnsi="Times New Roman" w:cs="Times New Roman"/>
          <w:sz w:val="24"/>
          <w:szCs w:val="24"/>
        </w:rPr>
        <w:t xml:space="preserve">. However, </w:t>
      </w:r>
      <w:r w:rsidR="00044272">
        <w:rPr>
          <w:rFonts w:ascii="Times New Roman" w:hAnsi="Times New Roman" w:cs="Times New Roman"/>
          <w:sz w:val="24"/>
          <w:szCs w:val="24"/>
        </w:rPr>
        <w:t>c</w:t>
      </w:r>
      <w:r w:rsidR="00513AD7">
        <w:rPr>
          <w:rFonts w:ascii="Times New Roman" w:hAnsi="Times New Roman" w:cs="Times New Roman"/>
          <w:sz w:val="24"/>
          <w:szCs w:val="24"/>
        </w:rPr>
        <w:t>andidate entities</w:t>
      </w:r>
      <w:r w:rsidRPr="00B13E6B">
        <w:rPr>
          <w:rFonts w:ascii="Times New Roman" w:hAnsi="Times New Roman" w:cs="Times New Roman"/>
          <w:sz w:val="24"/>
          <w:szCs w:val="24"/>
        </w:rPr>
        <w:t xml:space="preserve"> are encouraged to submit their </w:t>
      </w:r>
      <w:r w:rsidR="00127F2E">
        <w:rPr>
          <w:rFonts w:ascii="Times New Roman" w:hAnsi="Times New Roman" w:cs="Times New Roman"/>
          <w:sz w:val="24"/>
          <w:szCs w:val="24"/>
        </w:rPr>
        <w:t>a</w:t>
      </w:r>
      <w:r w:rsidR="00513AD7">
        <w:rPr>
          <w:rFonts w:ascii="Times New Roman" w:hAnsi="Times New Roman" w:cs="Times New Roman"/>
          <w:sz w:val="24"/>
          <w:szCs w:val="24"/>
        </w:rPr>
        <w:t>pplication</w:t>
      </w:r>
      <w:r w:rsidRPr="00B13E6B">
        <w:rPr>
          <w:rFonts w:ascii="Times New Roman" w:hAnsi="Times New Roman" w:cs="Times New Roman"/>
          <w:sz w:val="24"/>
          <w:szCs w:val="24"/>
        </w:rPr>
        <w:t xml:space="preserve"> in English, in order to facilitate the evaluation procedu</w:t>
      </w:r>
      <w:bookmarkStart w:id="6" w:name="_GoBack"/>
      <w:bookmarkEnd w:id="6"/>
      <w:r w:rsidRPr="00B13E6B">
        <w:rPr>
          <w:rFonts w:ascii="Times New Roman" w:hAnsi="Times New Roman" w:cs="Times New Roman"/>
          <w:sz w:val="24"/>
          <w:szCs w:val="24"/>
        </w:rPr>
        <w:t>re.</w:t>
      </w:r>
    </w:p>
    <w:p w14:paraId="53BAF785" w14:textId="54B31CE8" w:rsidR="00CD5265" w:rsidRDefault="00513AD7" w:rsidP="00CD5265">
      <w:pPr>
        <w:spacing w:after="240"/>
        <w:jc w:val="both"/>
        <w:rPr>
          <w:rFonts w:ascii="Times New Roman" w:hAnsi="Times New Roman" w:cs="Times New Roman"/>
          <w:sz w:val="24"/>
          <w:szCs w:val="24"/>
        </w:rPr>
      </w:pPr>
      <w:r>
        <w:rPr>
          <w:rFonts w:ascii="Times New Roman" w:hAnsi="Times New Roman" w:cs="Times New Roman"/>
          <w:b/>
          <w:sz w:val="24"/>
          <w:szCs w:val="24"/>
        </w:rPr>
        <w:t>Application</w:t>
      </w:r>
      <w:r w:rsidR="00CD5265" w:rsidRPr="00CD5265">
        <w:rPr>
          <w:rFonts w:ascii="Times New Roman" w:hAnsi="Times New Roman" w:cs="Times New Roman"/>
          <w:b/>
          <w:sz w:val="24"/>
          <w:szCs w:val="24"/>
        </w:rPr>
        <w:t xml:space="preserve"> form:</w:t>
      </w:r>
      <w:r w:rsidR="00CD5265" w:rsidRPr="00CD5265">
        <w:rPr>
          <w:rFonts w:ascii="Times New Roman" w:hAnsi="Times New Roman" w:cs="Times New Roman"/>
          <w:sz w:val="24"/>
          <w:szCs w:val="24"/>
        </w:rPr>
        <w:t xml:space="preserve"> </w:t>
      </w:r>
      <w:r>
        <w:rPr>
          <w:rFonts w:ascii="Times New Roman" w:hAnsi="Times New Roman" w:cs="Times New Roman"/>
          <w:sz w:val="24"/>
          <w:szCs w:val="24"/>
        </w:rPr>
        <w:t>Application</w:t>
      </w:r>
      <w:r w:rsidR="00CD5265" w:rsidRPr="00CD5265">
        <w:rPr>
          <w:rFonts w:ascii="Times New Roman" w:hAnsi="Times New Roman" w:cs="Times New Roman"/>
          <w:sz w:val="24"/>
          <w:szCs w:val="24"/>
        </w:rPr>
        <w:t xml:space="preserve">s must </w:t>
      </w:r>
      <w:r w:rsidR="00127F2E">
        <w:rPr>
          <w:rFonts w:ascii="Times New Roman" w:hAnsi="Times New Roman" w:cs="Times New Roman"/>
          <w:sz w:val="24"/>
          <w:szCs w:val="24"/>
        </w:rPr>
        <w:t>use</w:t>
      </w:r>
      <w:r w:rsidR="00CD5265" w:rsidRPr="00CD5265">
        <w:rPr>
          <w:rFonts w:ascii="Times New Roman" w:hAnsi="Times New Roman" w:cs="Times New Roman"/>
          <w:sz w:val="24"/>
          <w:szCs w:val="24"/>
        </w:rPr>
        <w:t xml:space="preserve"> the templates enclosed in </w:t>
      </w:r>
      <w:r w:rsidR="00BD6A8B">
        <w:rPr>
          <w:rFonts w:ascii="Times New Roman" w:hAnsi="Times New Roman" w:cs="Times New Roman"/>
          <w:sz w:val="24"/>
          <w:szCs w:val="24"/>
        </w:rPr>
        <w:t xml:space="preserve">the </w:t>
      </w:r>
      <w:r w:rsidR="00CD5265" w:rsidRPr="00CD5265">
        <w:rPr>
          <w:rFonts w:ascii="Times New Roman" w:hAnsi="Times New Roman" w:cs="Times New Roman"/>
          <w:sz w:val="24"/>
          <w:szCs w:val="24"/>
        </w:rPr>
        <w:t>Annex</w:t>
      </w:r>
      <w:r w:rsidR="00127F2E">
        <w:rPr>
          <w:rFonts w:ascii="Times New Roman" w:hAnsi="Times New Roman" w:cs="Times New Roman"/>
          <w:sz w:val="24"/>
          <w:szCs w:val="24"/>
        </w:rPr>
        <w:t xml:space="preserve"> </w:t>
      </w:r>
      <w:r w:rsidR="00CD5265" w:rsidRPr="00CD5265">
        <w:rPr>
          <w:rFonts w:ascii="Times New Roman" w:hAnsi="Times New Roman" w:cs="Times New Roman"/>
          <w:sz w:val="24"/>
          <w:szCs w:val="24"/>
        </w:rPr>
        <w:t>of this Call and have to be submitted b</w:t>
      </w:r>
      <w:r w:rsidR="00127F2E">
        <w:rPr>
          <w:rFonts w:ascii="Times New Roman" w:hAnsi="Times New Roman" w:cs="Times New Roman"/>
          <w:sz w:val="24"/>
          <w:szCs w:val="24"/>
        </w:rPr>
        <w:t xml:space="preserve">efore </w:t>
      </w:r>
      <w:r w:rsidR="00CD5265" w:rsidRPr="00CD5265">
        <w:rPr>
          <w:rFonts w:ascii="Times New Roman" w:hAnsi="Times New Roman" w:cs="Times New Roman"/>
          <w:sz w:val="24"/>
          <w:szCs w:val="24"/>
        </w:rPr>
        <w:t>the dates as indicated below.</w:t>
      </w:r>
    </w:p>
    <w:p w14:paraId="7668E59E" w14:textId="77777777" w:rsidR="00EA632C" w:rsidRPr="00CD5265" w:rsidRDefault="00EA632C" w:rsidP="00CD5265">
      <w:pPr>
        <w:spacing w:after="24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497"/>
        <w:gridCol w:w="4438"/>
      </w:tblGrid>
      <w:tr w:rsidR="009E2D00" w14:paraId="6602C279" w14:textId="77777777" w:rsidTr="00D016CF">
        <w:trPr>
          <w:jc w:val="center"/>
        </w:trPr>
        <w:tc>
          <w:tcPr>
            <w:tcW w:w="8935" w:type="dxa"/>
            <w:gridSpan w:val="2"/>
          </w:tcPr>
          <w:p w14:paraId="46B6986F" w14:textId="77777777" w:rsidR="009E2D00" w:rsidRPr="00B87203" w:rsidRDefault="009E2D00" w:rsidP="00D77540">
            <w:pPr>
              <w:jc w:val="center"/>
              <w:rPr>
                <w:rFonts w:ascii="Times New Roman" w:hAnsi="Times New Roman" w:cs="Times New Roman"/>
                <w:b/>
                <w:bCs/>
                <w:sz w:val="24"/>
                <w:szCs w:val="24"/>
              </w:rPr>
            </w:pPr>
            <w:r w:rsidRPr="00C871D5">
              <w:rPr>
                <w:rFonts w:ascii="Times New Roman" w:hAnsi="Times New Roman" w:cs="Times New Roman"/>
                <w:b/>
                <w:bCs/>
                <w:sz w:val="24"/>
                <w:szCs w:val="24"/>
              </w:rPr>
              <w:lastRenderedPageBreak/>
              <w:t>Timetable</w:t>
            </w:r>
          </w:p>
        </w:tc>
      </w:tr>
      <w:tr w:rsidR="00532697" w14:paraId="5D896726" w14:textId="77777777" w:rsidTr="00D016CF">
        <w:trPr>
          <w:jc w:val="center"/>
        </w:trPr>
        <w:tc>
          <w:tcPr>
            <w:tcW w:w="4497" w:type="dxa"/>
          </w:tcPr>
          <w:p w14:paraId="12EB883B" w14:textId="77777777" w:rsidR="00532697" w:rsidRDefault="009E2D00" w:rsidP="004B6E2F">
            <w:pPr>
              <w:jc w:val="both"/>
              <w:rPr>
                <w:rFonts w:ascii="Times New Roman" w:hAnsi="Times New Roman" w:cs="Times New Roman"/>
                <w:sz w:val="24"/>
                <w:szCs w:val="24"/>
              </w:rPr>
            </w:pPr>
            <w:r w:rsidRPr="009E2D00">
              <w:rPr>
                <w:rFonts w:ascii="Times New Roman" w:hAnsi="Times New Roman" w:cs="Times New Roman"/>
                <w:sz w:val="24"/>
                <w:szCs w:val="24"/>
              </w:rPr>
              <w:t xml:space="preserve">First cut-off date </w:t>
            </w:r>
          </w:p>
        </w:tc>
        <w:tc>
          <w:tcPr>
            <w:tcW w:w="4438" w:type="dxa"/>
          </w:tcPr>
          <w:p w14:paraId="70D604F7" w14:textId="77777777" w:rsidR="00532697" w:rsidRPr="0000178A" w:rsidRDefault="001B1FB4" w:rsidP="001B1FB4">
            <w:pPr>
              <w:jc w:val="both"/>
              <w:rPr>
                <w:rFonts w:ascii="Times New Roman" w:hAnsi="Times New Roman"/>
                <w:sz w:val="24"/>
              </w:rPr>
            </w:pPr>
            <w:r w:rsidRPr="0000178A">
              <w:rPr>
                <w:rFonts w:ascii="Times New Roman" w:hAnsi="Times New Roman"/>
                <w:b/>
                <w:sz w:val="24"/>
              </w:rPr>
              <w:t xml:space="preserve">15 September </w:t>
            </w:r>
            <w:r w:rsidR="008B538A" w:rsidRPr="0000178A">
              <w:rPr>
                <w:rFonts w:ascii="Times New Roman" w:hAnsi="Times New Roman"/>
                <w:b/>
                <w:sz w:val="24"/>
              </w:rPr>
              <w:t>2021</w:t>
            </w:r>
            <w:r w:rsidR="008B538A" w:rsidRPr="001B1FB4">
              <w:rPr>
                <w:rFonts w:ascii="Times New Roman" w:hAnsi="Times New Roman" w:cs="Times New Roman"/>
                <w:sz w:val="24"/>
                <w:szCs w:val="24"/>
              </w:rPr>
              <w:t xml:space="preserve"> </w:t>
            </w:r>
            <w:r w:rsidR="008B538A" w:rsidRPr="00454EC2">
              <w:rPr>
                <w:rFonts w:ascii="Times New Roman" w:hAnsi="Times New Roman" w:cs="Times New Roman"/>
                <w:sz w:val="24"/>
                <w:szCs w:val="24"/>
              </w:rPr>
              <w:t>(</w:t>
            </w:r>
            <w:r w:rsidR="000A1037" w:rsidRPr="00454EC2">
              <w:rPr>
                <w:rFonts w:ascii="Times New Roman" w:hAnsi="Times New Roman" w:cs="Times New Roman"/>
                <w:sz w:val="24"/>
                <w:szCs w:val="24"/>
              </w:rPr>
              <w:t>18</w:t>
            </w:r>
            <w:r w:rsidR="008B538A" w:rsidRPr="00454EC2">
              <w:rPr>
                <w:rFonts w:ascii="Times New Roman" w:hAnsi="Times New Roman" w:cs="Times New Roman"/>
                <w:sz w:val="24"/>
                <w:szCs w:val="24"/>
              </w:rPr>
              <w:t>:00 CET)</w:t>
            </w:r>
          </w:p>
        </w:tc>
      </w:tr>
      <w:tr w:rsidR="00532697" w14:paraId="290C87E4" w14:textId="77777777" w:rsidTr="00D016CF">
        <w:trPr>
          <w:jc w:val="center"/>
        </w:trPr>
        <w:tc>
          <w:tcPr>
            <w:tcW w:w="4497" w:type="dxa"/>
          </w:tcPr>
          <w:p w14:paraId="7B46FA89" w14:textId="77777777" w:rsidR="00532697" w:rsidRDefault="00203F8E" w:rsidP="004B6E2F">
            <w:pPr>
              <w:jc w:val="both"/>
              <w:rPr>
                <w:rFonts w:ascii="Times New Roman" w:hAnsi="Times New Roman" w:cs="Times New Roman"/>
                <w:sz w:val="24"/>
                <w:szCs w:val="24"/>
              </w:rPr>
            </w:pPr>
            <w:r>
              <w:rPr>
                <w:rFonts w:ascii="Times New Roman" w:hAnsi="Times New Roman" w:cs="Times New Roman"/>
                <w:sz w:val="24"/>
                <w:szCs w:val="24"/>
              </w:rPr>
              <w:t>Next cut-off dates</w:t>
            </w:r>
          </w:p>
        </w:tc>
        <w:tc>
          <w:tcPr>
            <w:tcW w:w="4438" w:type="dxa"/>
          </w:tcPr>
          <w:p w14:paraId="6D0662E3" w14:textId="77777777" w:rsidR="00532697" w:rsidRPr="0000178A" w:rsidRDefault="00203F8E" w:rsidP="00203F8E">
            <w:pPr>
              <w:jc w:val="both"/>
              <w:rPr>
                <w:rFonts w:ascii="Times New Roman" w:hAnsi="Times New Roman"/>
                <w:sz w:val="24"/>
              </w:rPr>
            </w:pPr>
            <w:r w:rsidRPr="00454EC2">
              <w:rPr>
                <w:rFonts w:ascii="Times New Roman" w:hAnsi="Times New Roman" w:cs="Times New Roman"/>
                <w:sz w:val="24"/>
                <w:szCs w:val="24"/>
              </w:rPr>
              <w:t>Every 31 March until 31 March 2026</w:t>
            </w:r>
          </w:p>
        </w:tc>
      </w:tr>
      <w:tr w:rsidR="00270D55" w14:paraId="4DFA1930" w14:textId="77777777" w:rsidTr="00D016CF">
        <w:trPr>
          <w:jc w:val="center"/>
        </w:trPr>
        <w:tc>
          <w:tcPr>
            <w:tcW w:w="4497" w:type="dxa"/>
          </w:tcPr>
          <w:p w14:paraId="60C5FF2E" w14:textId="77777777" w:rsidR="00270D55" w:rsidRDefault="00270D55" w:rsidP="00203F8E">
            <w:pPr>
              <w:jc w:val="both"/>
              <w:rPr>
                <w:rFonts w:ascii="Times New Roman" w:hAnsi="Times New Roman" w:cs="Times New Roman"/>
                <w:sz w:val="24"/>
                <w:szCs w:val="24"/>
              </w:rPr>
            </w:pPr>
            <w:r w:rsidRPr="00270D55">
              <w:rPr>
                <w:rFonts w:ascii="Times New Roman" w:hAnsi="Times New Roman" w:cs="Times New Roman"/>
                <w:sz w:val="24"/>
                <w:szCs w:val="24"/>
              </w:rPr>
              <w:t xml:space="preserve">Evaluation of </w:t>
            </w:r>
            <w:r w:rsidR="00513AD7">
              <w:rPr>
                <w:rFonts w:ascii="Times New Roman" w:hAnsi="Times New Roman" w:cs="Times New Roman"/>
                <w:sz w:val="24"/>
                <w:szCs w:val="24"/>
              </w:rPr>
              <w:t>application</w:t>
            </w:r>
            <w:r w:rsidR="00203F8E">
              <w:rPr>
                <w:rFonts w:ascii="Times New Roman" w:hAnsi="Times New Roman" w:cs="Times New Roman"/>
                <w:sz w:val="24"/>
                <w:szCs w:val="24"/>
              </w:rPr>
              <w:t>s</w:t>
            </w:r>
          </w:p>
        </w:tc>
        <w:tc>
          <w:tcPr>
            <w:tcW w:w="4438" w:type="dxa"/>
          </w:tcPr>
          <w:p w14:paraId="26DB813F" w14:textId="73414EBD" w:rsidR="00270D55" w:rsidRDefault="00270D55" w:rsidP="00127F2E">
            <w:pPr>
              <w:jc w:val="both"/>
              <w:rPr>
                <w:rFonts w:ascii="Times New Roman" w:hAnsi="Times New Roman" w:cs="Times New Roman"/>
                <w:sz w:val="24"/>
                <w:szCs w:val="24"/>
              </w:rPr>
            </w:pPr>
            <w:r w:rsidRPr="00270D55">
              <w:rPr>
                <w:rFonts w:ascii="Times New Roman" w:hAnsi="Times New Roman" w:cs="Times New Roman"/>
                <w:sz w:val="24"/>
                <w:szCs w:val="24"/>
              </w:rPr>
              <w:t>Following each cut-off date</w:t>
            </w:r>
            <w:r w:rsidR="00BD6A8B">
              <w:rPr>
                <w:rFonts w:ascii="Times New Roman" w:hAnsi="Times New Roman" w:cs="Times New Roman"/>
                <w:sz w:val="24"/>
                <w:szCs w:val="24"/>
              </w:rPr>
              <w:t>,</w:t>
            </w:r>
            <w:r w:rsidRPr="00270D55">
              <w:rPr>
                <w:rFonts w:ascii="Times New Roman" w:hAnsi="Times New Roman" w:cs="Times New Roman"/>
                <w:sz w:val="24"/>
                <w:szCs w:val="24"/>
              </w:rPr>
              <w:t xml:space="preserve"> the Commission </w:t>
            </w:r>
            <w:r w:rsidR="00B60FC7">
              <w:rPr>
                <w:rFonts w:ascii="Times New Roman" w:hAnsi="Times New Roman" w:cs="Times New Roman"/>
                <w:sz w:val="24"/>
                <w:szCs w:val="24"/>
              </w:rPr>
              <w:t xml:space="preserve">will </w:t>
            </w:r>
            <w:r w:rsidRPr="00270D55">
              <w:rPr>
                <w:rFonts w:ascii="Times New Roman" w:hAnsi="Times New Roman" w:cs="Times New Roman"/>
                <w:sz w:val="24"/>
                <w:szCs w:val="24"/>
              </w:rPr>
              <w:t xml:space="preserve">assess all </w:t>
            </w:r>
            <w:r w:rsidR="00513AD7">
              <w:rPr>
                <w:rFonts w:ascii="Times New Roman" w:hAnsi="Times New Roman" w:cs="Times New Roman"/>
                <w:sz w:val="24"/>
                <w:szCs w:val="24"/>
              </w:rPr>
              <w:t>application</w:t>
            </w:r>
            <w:r w:rsidRPr="00270D55">
              <w:rPr>
                <w:rFonts w:ascii="Times New Roman" w:hAnsi="Times New Roman" w:cs="Times New Roman"/>
                <w:sz w:val="24"/>
                <w:szCs w:val="24"/>
              </w:rPr>
              <w:t>s received</w:t>
            </w:r>
            <w:r w:rsidR="00101EB8">
              <w:rPr>
                <w:rFonts w:ascii="Times New Roman" w:hAnsi="Times New Roman" w:cs="Times New Roman"/>
                <w:sz w:val="24"/>
                <w:szCs w:val="24"/>
              </w:rPr>
              <w:t xml:space="preserve"> </w:t>
            </w:r>
            <w:r w:rsidR="00BD6A8B">
              <w:rPr>
                <w:rFonts w:ascii="Times New Roman" w:hAnsi="Times New Roman" w:cs="Times New Roman"/>
                <w:sz w:val="24"/>
                <w:szCs w:val="24"/>
              </w:rPr>
              <w:t xml:space="preserve">before </w:t>
            </w:r>
            <w:r w:rsidR="00707153">
              <w:rPr>
                <w:rFonts w:ascii="Times New Roman" w:hAnsi="Times New Roman" w:cs="Times New Roman"/>
                <w:sz w:val="24"/>
                <w:szCs w:val="24"/>
              </w:rPr>
              <w:t>that</w:t>
            </w:r>
            <w:r w:rsidR="00BD6A8B">
              <w:rPr>
                <w:rFonts w:ascii="Times New Roman" w:hAnsi="Times New Roman" w:cs="Times New Roman"/>
                <w:sz w:val="24"/>
                <w:szCs w:val="24"/>
              </w:rPr>
              <w:t xml:space="preserve"> date</w:t>
            </w:r>
            <w:r w:rsidR="00337A7C">
              <w:rPr>
                <w:rStyle w:val="FootnoteReference"/>
                <w:rFonts w:ascii="Times New Roman" w:hAnsi="Times New Roman" w:cs="Times New Roman"/>
                <w:sz w:val="24"/>
                <w:szCs w:val="24"/>
              </w:rPr>
              <w:footnoteReference w:id="10"/>
            </w:r>
            <w:r w:rsidR="00BD6A8B">
              <w:rPr>
                <w:rFonts w:ascii="Times New Roman" w:hAnsi="Times New Roman" w:cs="Times New Roman"/>
                <w:sz w:val="24"/>
                <w:szCs w:val="24"/>
              </w:rPr>
              <w:t xml:space="preserve">, in accordance with the process </w:t>
            </w:r>
            <w:r w:rsidR="000309CF">
              <w:rPr>
                <w:rFonts w:ascii="Times New Roman" w:hAnsi="Times New Roman" w:cs="Times New Roman"/>
                <w:sz w:val="24"/>
                <w:szCs w:val="24"/>
              </w:rPr>
              <w:t xml:space="preserve">detailed </w:t>
            </w:r>
            <w:r w:rsidR="00127F2E">
              <w:rPr>
                <w:rFonts w:ascii="Times New Roman" w:hAnsi="Times New Roman" w:cs="Times New Roman"/>
                <w:sz w:val="24"/>
                <w:szCs w:val="24"/>
              </w:rPr>
              <w:t>in section 4.2 of this Call. This may take up to two months</w:t>
            </w:r>
          </w:p>
        </w:tc>
      </w:tr>
    </w:tbl>
    <w:p w14:paraId="0EA53556" w14:textId="482717DE" w:rsidR="00CB0E86" w:rsidRDefault="00AE7F6D" w:rsidP="00914D90">
      <w:pPr>
        <w:spacing w:before="240" w:after="120"/>
        <w:jc w:val="both"/>
        <w:rPr>
          <w:rFonts w:ascii="Times New Roman" w:hAnsi="Times New Roman" w:cs="Times New Roman"/>
          <w:sz w:val="24"/>
          <w:szCs w:val="24"/>
        </w:rPr>
      </w:pPr>
      <w:r>
        <w:rPr>
          <w:rFonts w:ascii="Times New Roman" w:hAnsi="Times New Roman" w:cs="Times New Roman"/>
          <w:b/>
          <w:sz w:val="24"/>
          <w:szCs w:val="24"/>
        </w:rPr>
        <w:t>No d</w:t>
      </w:r>
      <w:r w:rsidR="00CD5265" w:rsidRPr="00CD5265">
        <w:rPr>
          <w:rFonts w:ascii="Times New Roman" w:hAnsi="Times New Roman" w:cs="Times New Roman"/>
          <w:b/>
          <w:sz w:val="24"/>
          <w:szCs w:val="24"/>
        </w:rPr>
        <w:t>uplications:</w:t>
      </w:r>
      <w:r w:rsidR="00CD5265" w:rsidRPr="00CD5265">
        <w:rPr>
          <w:rFonts w:ascii="Times New Roman" w:hAnsi="Times New Roman" w:cs="Times New Roman"/>
          <w:sz w:val="24"/>
          <w:szCs w:val="24"/>
        </w:rPr>
        <w:t xml:space="preserve"> </w:t>
      </w:r>
      <w:r w:rsidR="00CD5265">
        <w:rPr>
          <w:rFonts w:ascii="Times New Roman" w:hAnsi="Times New Roman" w:cs="Times New Roman"/>
          <w:sz w:val="24"/>
          <w:szCs w:val="24"/>
        </w:rPr>
        <w:t xml:space="preserve">Only </w:t>
      </w:r>
      <w:r w:rsidR="00513AD7">
        <w:rPr>
          <w:rFonts w:ascii="Times New Roman" w:hAnsi="Times New Roman" w:cs="Times New Roman"/>
          <w:sz w:val="24"/>
          <w:szCs w:val="24"/>
        </w:rPr>
        <w:t>one application</w:t>
      </w:r>
      <w:r w:rsidR="00CD5265" w:rsidRPr="00CD5265">
        <w:rPr>
          <w:rFonts w:ascii="Times New Roman" w:hAnsi="Times New Roman" w:cs="Times New Roman"/>
          <w:sz w:val="24"/>
          <w:szCs w:val="24"/>
        </w:rPr>
        <w:t xml:space="preserve"> </w:t>
      </w:r>
      <w:r w:rsidR="00513AD7">
        <w:rPr>
          <w:rFonts w:ascii="Times New Roman" w:hAnsi="Times New Roman" w:cs="Times New Roman"/>
          <w:sz w:val="24"/>
          <w:szCs w:val="24"/>
        </w:rPr>
        <w:t>per candidate entity</w:t>
      </w:r>
      <w:r w:rsidR="00B97211">
        <w:rPr>
          <w:rFonts w:ascii="Times New Roman" w:hAnsi="Times New Roman" w:cs="Times New Roman"/>
          <w:sz w:val="24"/>
          <w:szCs w:val="24"/>
        </w:rPr>
        <w:t xml:space="preserve"> </w:t>
      </w:r>
      <w:r w:rsidR="00B97211" w:rsidRPr="00CD5265">
        <w:rPr>
          <w:rFonts w:ascii="Times New Roman" w:hAnsi="Times New Roman" w:cs="Times New Roman"/>
          <w:sz w:val="24"/>
          <w:szCs w:val="24"/>
        </w:rPr>
        <w:t>is expected</w:t>
      </w:r>
      <w:r w:rsidR="00203F8E">
        <w:rPr>
          <w:rFonts w:ascii="Times New Roman" w:hAnsi="Times New Roman" w:cs="Times New Roman"/>
          <w:sz w:val="24"/>
          <w:szCs w:val="24"/>
        </w:rPr>
        <w:t>.</w:t>
      </w:r>
    </w:p>
    <w:p w14:paraId="72FBD11F" w14:textId="263A6E9A" w:rsidR="002E191A" w:rsidRPr="00E63F08" w:rsidRDefault="00C52462" w:rsidP="00E63F08">
      <w:pPr>
        <w:jc w:val="both"/>
        <w:rPr>
          <w:rFonts w:ascii="Times New Roman" w:hAnsi="Times New Roman" w:cs="Times New Roman"/>
          <w:sz w:val="24"/>
          <w:szCs w:val="24"/>
        </w:rPr>
      </w:pPr>
      <w:r w:rsidRPr="006F12BB">
        <w:rPr>
          <w:rFonts w:ascii="Times New Roman" w:hAnsi="Times New Roman" w:cs="Times New Roman"/>
          <w:b/>
          <w:sz w:val="24"/>
          <w:szCs w:val="24"/>
        </w:rPr>
        <w:t>Submission proce</w:t>
      </w:r>
      <w:r>
        <w:rPr>
          <w:rFonts w:ascii="Times New Roman" w:hAnsi="Times New Roman" w:cs="Times New Roman"/>
          <w:b/>
          <w:sz w:val="24"/>
          <w:szCs w:val="24"/>
        </w:rPr>
        <w:t>dure</w:t>
      </w:r>
      <w:r w:rsidRPr="006F12BB">
        <w:rPr>
          <w:rFonts w:ascii="Times New Roman" w:hAnsi="Times New Roman" w:cs="Times New Roman"/>
          <w:b/>
          <w:sz w:val="24"/>
          <w:szCs w:val="24"/>
        </w:rPr>
        <w:t>:</w:t>
      </w:r>
      <w:r>
        <w:rPr>
          <w:rFonts w:ascii="Times New Roman" w:hAnsi="Times New Roman" w:cs="Times New Roman"/>
          <w:sz w:val="24"/>
          <w:szCs w:val="24"/>
        </w:rPr>
        <w:t xml:space="preserve"> </w:t>
      </w:r>
      <w:r w:rsidR="00513AD7">
        <w:rPr>
          <w:rFonts w:ascii="Times New Roman" w:hAnsi="Times New Roman" w:cs="Times New Roman"/>
          <w:sz w:val="24"/>
          <w:szCs w:val="24"/>
        </w:rPr>
        <w:t>The application</w:t>
      </w:r>
      <w:r w:rsidR="002E191A" w:rsidRPr="00E63F08">
        <w:rPr>
          <w:rFonts w:ascii="Times New Roman" w:hAnsi="Times New Roman" w:cs="Times New Roman"/>
          <w:sz w:val="24"/>
          <w:szCs w:val="24"/>
        </w:rPr>
        <w:t xml:space="preserve"> </w:t>
      </w:r>
      <w:r w:rsidR="00F4379D">
        <w:rPr>
          <w:rFonts w:ascii="Times New Roman" w:hAnsi="Times New Roman" w:cs="Times New Roman"/>
          <w:sz w:val="24"/>
          <w:szCs w:val="24"/>
        </w:rPr>
        <w:t>ha</w:t>
      </w:r>
      <w:r w:rsidR="00BD3969">
        <w:rPr>
          <w:rFonts w:ascii="Times New Roman" w:hAnsi="Times New Roman" w:cs="Times New Roman"/>
          <w:sz w:val="24"/>
          <w:szCs w:val="24"/>
        </w:rPr>
        <w:t>s</w:t>
      </w:r>
      <w:r w:rsidR="00F4379D">
        <w:rPr>
          <w:rFonts w:ascii="Times New Roman" w:hAnsi="Times New Roman" w:cs="Times New Roman"/>
          <w:sz w:val="24"/>
          <w:szCs w:val="24"/>
        </w:rPr>
        <w:t xml:space="preserve"> to </w:t>
      </w:r>
      <w:r w:rsidR="002E191A" w:rsidRPr="00E63F08">
        <w:rPr>
          <w:rFonts w:ascii="Times New Roman" w:hAnsi="Times New Roman" w:cs="Times New Roman"/>
          <w:sz w:val="24"/>
          <w:szCs w:val="24"/>
        </w:rPr>
        <w:t xml:space="preserve">be submitted by e-mail to: </w:t>
      </w:r>
      <w:hyperlink r:id="rId8" w:history="1">
        <w:r w:rsidR="00096A6A" w:rsidRPr="00146C2F">
          <w:rPr>
            <w:rStyle w:val="Hyperlink"/>
            <w:rFonts w:ascii="Times New Roman" w:hAnsi="Times New Roman" w:cs="Times New Roman"/>
            <w:sz w:val="24"/>
            <w:szCs w:val="24"/>
          </w:rPr>
          <w:t>DEFIS-A2@ec.europa.eu</w:t>
        </w:r>
      </w:hyperlink>
      <w:r w:rsidR="00096A6A">
        <w:rPr>
          <w:rFonts w:ascii="Times New Roman" w:hAnsi="Times New Roman" w:cs="Times New Roman"/>
          <w:sz w:val="24"/>
          <w:szCs w:val="24"/>
        </w:rPr>
        <w:t xml:space="preserve"> </w:t>
      </w:r>
      <w:r w:rsidR="002E191A" w:rsidRPr="00E63F08">
        <w:rPr>
          <w:rFonts w:ascii="Times New Roman" w:hAnsi="Times New Roman" w:cs="Times New Roman"/>
          <w:sz w:val="24"/>
          <w:szCs w:val="24"/>
        </w:rPr>
        <w:t xml:space="preserve">stating the subject </w:t>
      </w:r>
      <w:r w:rsidR="00127F2E">
        <w:rPr>
          <w:rFonts w:ascii="Times New Roman" w:hAnsi="Times New Roman" w:cs="Times New Roman"/>
          <w:sz w:val="24"/>
          <w:szCs w:val="24"/>
        </w:rPr>
        <w:t>‘</w:t>
      </w:r>
      <w:r w:rsidR="00203F8E" w:rsidRPr="00127F2E">
        <w:rPr>
          <w:rFonts w:ascii="Times New Roman" w:hAnsi="Times New Roman" w:cs="Times New Roman"/>
          <w:i/>
          <w:sz w:val="24"/>
          <w:szCs w:val="24"/>
        </w:rPr>
        <w:t xml:space="preserve">European Defence Fund </w:t>
      </w:r>
      <w:r w:rsidR="002E191A" w:rsidRPr="00127F2E">
        <w:rPr>
          <w:rFonts w:ascii="Times New Roman" w:hAnsi="Times New Roman" w:cs="Times New Roman"/>
          <w:i/>
          <w:sz w:val="24"/>
          <w:szCs w:val="24"/>
        </w:rPr>
        <w:t xml:space="preserve">– Expression of Interest </w:t>
      </w:r>
      <w:r w:rsidR="00E27A29" w:rsidRPr="00127F2E">
        <w:rPr>
          <w:rFonts w:ascii="Times New Roman" w:hAnsi="Times New Roman" w:cs="Times New Roman"/>
          <w:i/>
          <w:sz w:val="24"/>
          <w:szCs w:val="24"/>
        </w:rPr>
        <w:t>of implementing p</w:t>
      </w:r>
      <w:r w:rsidR="00513AD7" w:rsidRPr="00127F2E">
        <w:rPr>
          <w:rFonts w:ascii="Times New Roman" w:hAnsi="Times New Roman" w:cs="Times New Roman"/>
          <w:i/>
          <w:sz w:val="24"/>
          <w:szCs w:val="24"/>
        </w:rPr>
        <w:t>artner: [name of the candidate entity</w:t>
      </w:r>
      <w:r w:rsidR="002E191A" w:rsidRPr="00127F2E">
        <w:rPr>
          <w:rFonts w:ascii="Times New Roman" w:hAnsi="Times New Roman" w:cs="Times New Roman"/>
          <w:i/>
          <w:sz w:val="24"/>
          <w:szCs w:val="24"/>
        </w:rPr>
        <w:t>]</w:t>
      </w:r>
      <w:r w:rsidR="00127F2E">
        <w:rPr>
          <w:rFonts w:ascii="Times New Roman" w:hAnsi="Times New Roman" w:cs="Times New Roman"/>
          <w:i/>
          <w:sz w:val="24"/>
          <w:szCs w:val="24"/>
        </w:rPr>
        <w:t>’</w:t>
      </w:r>
      <w:r w:rsidR="002E191A" w:rsidRPr="00E63F08">
        <w:rPr>
          <w:rFonts w:ascii="Times New Roman" w:hAnsi="Times New Roman" w:cs="Times New Roman"/>
          <w:sz w:val="24"/>
          <w:szCs w:val="24"/>
        </w:rPr>
        <w:t xml:space="preserve"> and </w:t>
      </w:r>
      <w:r w:rsidR="00F4379D">
        <w:rPr>
          <w:rFonts w:ascii="Times New Roman" w:hAnsi="Times New Roman" w:cs="Times New Roman"/>
          <w:sz w:val="24"/>
          <w:szCs w:val="24"/>
        </w:rPr>
        <w:t xml:space="preserve">have to </w:t>
      </w:r>
      <w:r w:rsidR="002E191A" w:rsidRPr="00E63F08">
        <w:rPr>
          <w:rFonts w:ascii="Times New Roman" w:hAnsi="Times New Roman" w:cs="Times New Roman"/>
          <w:sz w:val="24"/>
          <w:szCs w:val="24"/>
        </w:rPr>
        <w:t xml:space="preserve">contain </w:t>
      </w:r>
      <w:r w:rsidR="000A1037">
        <w:rPr>
          <w:rFonts w:ascii="Times New Roman" w:hAnsi="Times New Roman" w:cs="Times New Roman"/>
          <w:sz w:val="24"/>
          <w:szCs w:val="24"/>
        </w:rPr>
        <w:t xml:space="preserve">a </w:t>
      </w:r>
      <w:r w:rsidR="002E191A" w:rsidRPr="00E63F08">
        <w:rPr>
          <w:rFonts w:ascii="Times New Roman" w:hAnsi="Times New Roman" w:cs="Times New Roman"/>
          <w:sz w:val="24"/>
          <w:szCs w:val="24"/>
        </w:rPr>
        <w:t>complete set of relevant supporting documents</w:t>
      </w:r>
      <w:r>
        <w:rPr>
          <w:rFonts w:ascii="Times New Roman" w:hAnsi="Times New Roman" w:cs="Times New Roman"/>
          <w:sz w:val="24"/>
          <w:szCs w:val="24"/>
        </w:rPr>
        <w:t xml:space="preserve"> specified in </w:t>
      </w:r>
      <w:r w:rsidR="00127F2E">
        <w:rPr>
          <w:rFonts w:ascii="Times New Roman" w:hAnsi="Times New Roman" w:cs="Times New Roman"/>
          <w:sz w:val="24"/>
          <w:szCs w:val="24"/>
        </w:rPr>
        <w:t xml:space="preserve">the </w:t>
      </w:r>
      <w:r>
        <w:rPr>
          <w:rFonts w:ascii="Times New Roman" w:hAnsi="Times New Roman" w:cs="Times New Roman"/>
          <w:sz w:val="24"/>
          <w:szCs w:val="24"/>
        </w:rPr>
        <w:t>Annex of this Call</w:t>
      </w:r>
      <w:r w:rsidRPr="00E63F08">
        <w:rPr>
          <w:rFonts w:ascii="Times New Roman" w:hAnsi="Times New Roman" w:cs="Times New Roman"/>
          <w:sz w:val="24"/>
          <w:szCs w:val="24"/>
        </w:rPr>
        <w:t>.</w:t>
      </w:r>
      <w:r w:rsidR="002E191A" w:rsidRPr="00E63F08">
        <w:rPr>
          <w:rFonts w:ascii="Times New Roman" w:hAnsi="Times New Roman" w:cs="Times New Roman"/>
          <w:sz w:val="24"/>
          <w:szCs w:val="24"/>
        </w:rPr>
        <w:t xml:space="preserve"> </w:t>
      </w:r>
    </w:p>
    <w:p w14:paraId="41928AE6" w14:textId="03AF9CF7" w:rsidR="002E191A" w:rsidRDefault="002E191A" w:rsidP="00516DE7">
      <w:pPr>
        <w:jc w:val="both"/>
        <w:rPr>
          <w:rFonts w:ascii="Times New Roman" w:hAnsi="Times New Roman" w:cs="Times New Roman"/>
          <w:sz w:val="24"/>
          <w:szCs w:val="24"/>
        </w:rPr>
      </w:pPr>
      <w:r w:rsidRPr="00E63F08">
        <w:rPr>
          <w:rFonts w:ascii="Times New Roman" w:hAnsi="Times New Roman" w:cs="Times New Roman"/>
          <w:sz w:val="24"/>
          <w:szCs w:val="24"/>
        </w:rPr>
        <w:t xml:space="preserve">An acknowledgement of receipt </w:t>
      </w:r>
      <w:r w:rsidR="00B60FC7">
        <w:rPr>
          <w:rFonts w:ascii="Times New Roman" w:hAnsi="Times New Roman" w:cs="Times New Roman"/>
          <w:sz w:val="24"/>
          <w:szCs w:val="24"/>
        </w:rPr>
        <w:t xml:space="preserve">will </w:t>
      </w:r>
      <w:r w:rsidRPr="00E63F08">
        <w:rPr>
          <w:rFonts w:ascii="Times New Roman" w:hAnsi="Times New Roman" w:cs="Times New Roman"/>
          <w:sz w:val="24"/>
          <w:szCs w:val="24"/>
        </w:rPr>
        <w:t xml:space="preserve">be sent to the </w:t>
      </w:r>
      <w:r w:rsidR="00044272">
        <w:rPr>
          <w:rFonts w:ascii="Times New Roman" w:hAnsi="Times New Roman" w:cs="Times New Roman"/>
          <w:sz w:val="24"/>
          <w:szCs w:val="24"/>
        </w:rPr>
        <w:t>c</w:t>
      </w:r>
      <w:r w:rsidR="00513AD7">
        <w:rPr>
          <w:rFonts w:ascii="Times New Roman" w:hAnsi="Times New Roman" w:cs="Times New Roman"/>
          <w:sz w:val="24"/>
          <w:szCs w:val="24"/>
        </w:rPr>
        <w:t>andidate entities</w:t>
      </w:r>
      <w:r w:rsidRPr="00E63F08">
        <w:rPr>
          <w:rFonts w:ascii="Times New Roman" w:hAnsi="Times New Roman" w:cs="Times New Roman"/>
          <w:sz w:val="24"/>
          <w:szCs w:val="24"/>
        </w:rPr>
        <w:t xml:space="preserve"> via e-mail. The acknowledgement of receipt </w:t>
      </w:r>
      <w:r w:rsidR="00B60FC7">
        <w:rPr>
          <w:rFonts w:ascii="Times New Roman" w:hAnsi="Times New Roman" w:cs="Times New Roman"/>
          <w:sz w:val="24"/>
          <w:szCs w:val="24"/>
        </w:rPr>
        <w:t xml:space="preserve">should </w:t>
      </w:r>
      <w:r w:rsidRPr="00E63F08">
        <w:rPr>
          <w:rFonts w:ascii="Times New Roman" w:hAnsi="Times New Roman" w:cs="Times New Roman"/>
          <w:sz w:val="24"/>
          <w:szCs w:val="24"/>
        </w:rPr>
        <w:t xml:space="preserve">not be construed as a declaration of completeness of the </w:t>
      </w:r>
      <w:r w:rsidR="00127F2E">
        <w:rPr>
          <w:rFonts w:ascii="Times New Roman" w:hAnsi="Times New Roman" w:cs="Times New Roman"/>
          <w:sz w:val="24"/>
          <w:szCs w:val="24"/>
        </w:rPr>
        <w:t>a</w:t>
      </w:r>
      <w:r w:rsidR="00513AD7">
        <w:rPr>
          <w:rFonts w:ascii="Times New Roman" w:hAnsi="Times New Roman" w:cs="Times New Roman"/>
          <w:sz w:val="24"/>
          <w:szCs w:val="24"/>
        </w:rPr>
        <w:t>pplication</w:t>
      </w:r>
      <w:r w:rsidRPr="00E63F08">
        <w:rPr>
          <w:rFonts w:ascii="Times New Roman" w:hAnsi="Times New Roman" w:cs="Times New Roman"/>
          <w:sz w:val="24"/>
          <w:szCs w:val="24"/>
        </w:rPr>
        <w:t xml:space="preserve"> and the documents submitted therewith, nor </w:t>
      </w:r>
      <w:r w:rsidR="001F51FA" w:rsidRPr="001D1FAF">
        <w:rPr>
          <w:rFonts w:ascii="Times New Roman" w:hAnsi="Times New Roman" w:cs="Times New Roman"/>
          <w:sz w:val="24"/>
          <w:szCs w:val="24"/>
        </w:rPr>
        <w:t>as</w:t>
      </w:r>
      <w:r w:rsidR="001F51FA">
        <w:rPr>
          <w:rFonts w:ascii="Times New Roman" w:hAnsi="Times New Roman" w:cs="Times New Roman"/>
          <w:sz w:val="24"/>
          <w:szCs w:val="24"/>
        </w:rPr>
        <w:t xml:space="preserve"> </w:t>
      </w:r>
      <w:r w:rsidRPr="00E63F08">
        <w:rPr>
          <w:rFonts w:ascii="Times New Roman" w:hAnsi="Times New Roman" w:cs="Times New Roman"/>
          <w:sz w:val="24"/>
          <w:szCs w:val="24"/>
        </w:rPr>
        <w:t xml:space="preserve">any kind of assessment or acceptance of the same. The </w:t>
      </w:r>
      <w:r w:rsidR="00044272">
        <w:rPr>
          <w:rFonts w:ascii="Times New Roman" w:hAnsi="Times New Roman" w:cs="Times New Roman"/>
          <w:sz w:val="24"/>
          <w:szCs w:val="24"/>
        </w:rPr>
        <w:t>c</w:t>
      </w:r>
      <w:r w:rsidR="00513AD7">
        <w:rPr>
          <w:rFonts w:ascii="Times New Roman" w:hAnsi="Times New Roman" w:cs="Times New Roman"/>
          <w:sz w:val="24"/>
          <w:szCs w:val="24"/>
        </w:rPr>
        <w:t>andidate entities</w:t>
      </w:r>
      <w:r w:rsidRPr="00E63F08">
        <w:rPr>
          <w:rFonts w:ascii="Times New Roman" w:hAnsi="Times New Roman" w:cs="Times New Roman"/>
          <w:sz w:val="24"/>
          <w:szCs w:val="24"/>
        </w:rPr>
        <w:t xml:space="preserve"> may withdraw</w:t>
      </w:r>
      <w:r w:rsidR="002A168C">
        <w:rPr>
          <w:rFonts w:ascii="Times New Roman" w:hAnsi="Times New Roman" w:cs="Times New Roman"/>
          <w:sz w:val="24"/>
          <w:szCs w:val="24"/>
        </w:rPr>
        <w:t xml:space="preserve"> their </w:t>
      </w:r>
      <w:r w:rsidR="00044272">
        <w:rPr>
          <w:rFonts w:ascii="Times New Roman" w:hAnsi="Times New Roman" w:cs="Times New Roman"/>
          <w:sz w:val="24"/>
          <w:szCs w:val="24"/>
        </w:rPr>
        <w:t>a</w:t>
      </w:r>
      <w:r w:rsidR="00513AD7">
        <w:rPr>
          <w:rFonts w:ascii="Times New Roman" w:hAnsi="Times New Roman" w:cs="Times New Roman"/>
          <w:sz w:val="24"/>
          <w:szCs w:val="24"/>
        </w:rPr>
        <w:t>pplication</w:t>
      </w:r>
      <w:r w:rsidRPr="00E63F08">
        <w:rPr>
          <w:rFonts w:ascii="Times New Roman" w:hAnsi="Times New Roman" w:cs="Times New Roman"/>
          <w:sz w:val="24"/>
          <w:szCs w:val="24"/>
        </w:rPr>
        <w:t xml:space="preserve">, in the same manner as specified in the previous paragraph, at any stage of the selection process. </w:t>
      </w:r>
    </w:p>
    <w:p w14:paraId="2DE75E1E" w14:textId="77777777" w:rsidR="00123881" w:rsidRDefault="00C52462" w:rsidP="00DD11D6">
      <w:pPr>
        <w:spacing w:after="240"/>
        <w:jc w:val="both"/>
        <w:rPr>
          <w:rFonts w:ascii="Times New Roman" w:hAnsi="Times New Roman" w:cs="Times New Roman"/>
          <w:sz w:val="24"/>
          <w:szCs w:val="24"/>
        </w:rPr>
      </w:pPr>
      <w:r w:rsidRPr="006F12BB">
        <w:rPr>
          <w:rFonts w:ascii="Times New Roman" w:hAnsi="Times New Roman" w:cs="Times New Roman"/>
          <w:b/>
          <w:sz w:val="24"/>
          <w:szCs w:val="24"/>
        </w:rPr>
        <w:t xml:space="preserve">Information to </w:t>
      </w:r>
      <w:r w:rsidR="00513AD7">
        <w:rPr>
          <w:rFonts w:ascii="Times New Roman" w:hAnsi="Times New Roman" w:cs="Times New Roman"/>
          <w:b/>
          <w:sz w:val="24"/>
          <w:szCs w:val="24"/>
        </w:rPr>
        <w:t>candidate entities</w:t>
      </w:r>
      <w:r w:rsidRPr="006F12BB">
        <w:rPr>
          <w:rFonts w:ascii="Times New Roman" w:hAnsi="Times New Roman" w:cs="Times New Roman"/>
          <w:b/>
          <w:sz w:val="24"/>
          <w:szCs w:val="24"/>
        </w:rPr>
        <w:t>:</w:t>
      </w:r>
      <w:r>
        <w:rPr>
          <w:rFonts w:ascii="Times New Roman" w:hAnsi="Times New Roman" w:cs="Times New Roman"/>
          <w:sz w:val="24"/>
          <w:szCs w:val="24"/>
        </w:rPr>
        <w:t xml:space="preserve"> </w:t>
      </w:r>
      <w:r w:rsidR="00513AD7">
        <w:rPr>
          <w:rFonts w:ascii="Times New Roman" w:hAnsi="Times New Roman" w:cs="Times New Roman"/>
          <w:sz w:val="24"/>
          <w:szCs w:val="24"/>
        </w:rPr>
        <w:t>candidate entities</w:t>
      </w:r>
      <w:r w:rsidR="00123881" w:rsidRPr="00123881">
        <w:rPr>
          <w:rFonts w:ascii="Times New Roman" w:hAnsi="Times New Roman" w:cs="Times New Roman"/>
          <w:sz w:val="24"/>
          <w:szCs w:val="24"/>
        </w:rPr>
        <w:t xml:space="preserve"> may send questions regarding this Call by e-mail to</w:t>
      </w:r>
      <w:r w:rsidR="00DE44DC">
        <w:rPr>
          <w:rFonts w:ascii="Times New Roman" w:hAnsi="Times New Roman" w:cs="Times New Roman"/>
          <w:sz w:val="24"/>
          <w:szCs w:val="24"/>
        </w:rPr>
        <w:t xml:space="preserve">: </w:t>
      </w:r>
      <w:hyperlink r:id="rId9" w:history="1">
        <w:r w:rsidR="00096A6A" w:rsidRPr="00146C2F">
          <w:rPr>
            <w:rStyle w:val="Hyperlink"/>
            <w:rFonts w:ascii="Times New Roman" w:hAnsi="Times New Roman" w:cs="Times New Roman"/>
            <w:sz w:val="24"/>
            <w:szCs w:val="24"/>
          </w:rPr>
          <w:t>DEFIS-A2@ec.europa.eu</w:t>
        </w:r>
      </w:hyperlink>
      <w:r w:rsidR="00DE44DC">
        <w:rPr>
          <w:rFonts w:ascii="Times New Roman" w:hAnsi="Times New Roman" w:cs="Times New Roman"/>
          <w:sz w:val="24"/>
          <w:szCs w:val="24"/>
        </w:rPr>
        <w:t xml:space="preserve">, </w:t>
      </w:r>
      <w:r w:rsidR="00123881" w:rsidRPr="00123881">
        <w:rPr>
          <w:rFonts w:ascii="Times New Roman" w:hAnsi="Times New Roman" w:cs="Times New Roman"/>
          <w:sz w:val="24"/>
          <w:szCs w:val="24"/>
        </w:rPr>
        <w:t xml:space="preserve">to which the Commission </w:t>
      </w:r>
      <w:r w:rsidR="00B60FC7">
        <w:rPr>
          <w:rFonts w:ascii="Times New Roman" w:hAnsi="Times New Roman" w:cs="Times New Roman"/>
          <w:sz w:val="24"/>
          <w:szCs w:val="24"/>
        </w:rPr>
        <w:t xml:space="preserve">will </w:t>
      </w:r>
      <w:r w:rsidR="00123881" w:rsidRPr="00123881">
        <w:rPr>
          <w:rFonts w:ascii="Times New Roman" w:hAnsi="Times New Roman" w:cs="Times New Roman"/>
          <w:sz w:val="24"/>
          <w:szCs w:val="24"/>
        </w:rPr>
        <w:t>endeavour to reply within 1</w:t>
      </w:r>
      <w:r w:rsidR="00096A6A">
        <w:rPr>
          <w:rFonts w:ascii="Times New Roman" w:hAnsi="Times New Roman" w:cs="Times New Roman"/>
          <w:sz w:val="24"/>
          <w:szCs w:val="24"/>
        </w:rPr>
        <w:t>5</w:t>
      </w:r>
      <w:r w:rsidR="00123881" w:rsidRPr="00123881">
        <w:rPr>
          <w:rFonts w:ascii="Times New Roman" w:hAnsi="Times New Roman" w:cs="Times New Roman"/>
          <w:sz w:val="24"/>
          <w:szCs w:val="24"/>
        </w:rPr>
        <w:t xml:space="preserve"> working days of receiving the request for information or clarification.</w:t>
      </w:r>
    </w:p>
    <w:p w14:paraId="20126018" w14:textId="77777777" w:rsidR="00DD11D6" w:rsidRPr="00DD11D6" w:rsidRDefault="00DD11D6" w:rsidP="00DD11D6">
      <w:pPr>
        <w:pStyle w:val="Heading2"/>
        <w:numPr>
          <w:ilvl w:val="0"/>
          <w:numId w:val="0"/>
        </w:numPr>
        <w:spacing w:before="240" w:after="120"/>
        <w:rPr>
          <w:b/>
          <w:bCs/>
        </w:rPr>
      </w:pPr>
      <w:r w:rsidRPr="00DD11D6">
        <w:rPr>
          <w:rFonts w:cs="Times New Roman"/>
          <w:b/>
          <w:szCs w:val="24"/>
        </w:rPr>
        <w:t>4.2</w:t>
      </w:r>
      <w:bookmarkStart w:id="7" w:name="_Toc68877363"/>
      <w:r w:rsidRPr="00DD11D6">
        <w:rPr>
          <w:b/>
          <w:bCs/>
        </w:rPr>
        <w:t xml:space="preserve"> Selection proce</w:t>
      </w:r>
      <w:bookmarkEnd w:id="7"/>
      <w:r w:rsidRPr="00DD11D6">
        <w:rPr>
          <w:b/>
          <w:bCs/>
        </w:rPr>
        <w:t>dure</w:t>
      </w:r>
    </w:p>
    <w:p w14:paraId="7BFD3F39" w14:textId="77777777" w:rsidR="00303BAF" w:rsidRPr="005E5178" w:rsidRDefault="00203F8E" w:rsidP="005E5178">
      <w:pPr>
        <w:jc w:val="both"/>
        <w:rPr>
          <w:rFonts w:ascii="Times New Roman" w:hAnsi="Times New Roman" w:cs="Times New Roman"/>
          <w:sz w:val="24"/>
          <w:szCs w:val="24"/>
        </w:rPr>
      </w:pPr>
      <w:r>
        <w:rPr>
          <w:rFonts w:ascii="Times New Roman" w:hAnsi="Times New Roman" w:cs="Times New Roman"/>
          <w:sz w:val="24"/>
          <w:szCs w:val="24"/>
        </w:rPr>
        <w:t xml:space="preserve">Eligible </w:t>
      </w:r>
      <w:r w:rsidR="00513AD7">
        <w:rPr>
          <w:rFonts w:ascii="Times New Roman" w:hAnsi="Times New Roman" w:cs="Times New Roman"/>
          <w:sz w:val="24"/>
          <w:szCs w:val="24"/>
        </w:rPr>
        <w:t xml:space="preserve">potential </w:t>
      </w:r>
      <w:r>
        <w:rPr>
          <w:rFonts w:ascii="Times New Roman" w:hAnsi="Times New Roman" w:cs="Times New Roman"/>
          <w:sz w:val="24"/>
          <w:szCs w:val="24"/>
        </w:rPr>
        <w:t>i</w:t>
      </w:r>
      <w:r w:rsidR="00303BAF">
        <w:rPr>
          <w:rFonts w:ascii="Times New Roman" w:hAnsi="Times New Roman" w:cs="Times New Roman"/>
          <w:sz w:val="24"/>
          <w:szCs w:val="24"/>
        </w:rPr>
        <w:t xml:space="preserve">mplementing </w:t>
      </w:r>
      <w:r w:rsidR="008F67CF">
        <w:rPr>
          <w:rFonts w:ascii="Times New Roman" w:hAnsi="Times New Roman" w:cs="Times New Roman"/>
          <w:sz w:val="24"/>
          <w:szCs w:val="24"/>
        </w:rPr>
        <w:t>p</w:t>
      </w:r>
      <w:r w:rsidR="00303BAF">
        <w:rPr>
          <w:rFonts w:ascii="Times New Roman" w:hAnsi="Times New Roman" w:cs="Times New Roman"/>
          <w:sz w:val="24"/>
          <w:szCs w:val="24"/>
        </w:rPr>
        <w:t xml:space="preserve">artners </w:t>
      </w:r>
      <w:r w:rsidR="001F51FA">
        <w:rPr>
          <w:rFonts w:ascii="Times New Roman" w:hAnsi="Times New Roman" w:cs="Times New Roman"/>
          <w:sz w:val="24"/>
          <w:szCs w:val="24"/>
        </w:rPr>
        <w:t xml:space="preserve">under the </w:t>
      </w:r>
      <w:r>
        <w:rPr>
          <w:rFonts w:ascii="Times New Roman" w:hAnsi="Times New Roman" w:cs="Times New Roman"/>
          <w:sz w:val="24"/>
          <w:szCs w:val="24"/>
        </w:rPr>
        <w:t>EDF</w:t>
      </w:r>
      <w:r w:rsidR="001F51FA">
        <w:rPr>
          <w:rFonts w:ascii="Times New Roman" w:hAnsi="Times New Roman" w:cs="Times New Roman"/>
          <w:sz w:val="24"/>
          <w:szCs w:val="24"/>
        </w:rPr>
        <w:t xml:space="preserve"> </w:t>
      </w:r>
      <w:r w:rsidR="00B60FC7">
        <w:rPr>
          <w:rFonts w:ascii="Times New Roman" w:hAnsi="Times New Roman" w:cs="Times New Roman"/>
          <w:sz w:val="24"/>
          <w:szCs w:val="24"/>
        </w:rPr>
        <w:t xml:space="preserve">will </w:t>
      </w:r>
      <w:r w:rsidR="00303BAF" w:rsidRPr="00303BAF">
        <w:rPr>
          <w:rFonts w:ascii="Times New Roman" w:hAnsi="Times New Roman" w:cs="Times New Roman"/>
          <w:sz w:val="24"/>
          <w:szCs w:val="24"/>
        </w:rPr>
        <w:t xml:space="preserve">be selected </w:t>
      </w:r>
      <w:r w:rsidR="001F51FA">
        <w:rPr>
          <w:rFonts w:ascii="Times New Roman" w:hAnsi="Times New Roman" w:cs="Times New Roman"/>
          <w:sz w:val="24"/>
          <w:szCs w:val="24"/>
        </w:rPr>
        <w:t xml:space="preserve">with due consideration of the </w:t>
      </w:r>
      <w:r w:rsidR="00303BAF" w:rsidRPr="00303BAF">
        <w:rPr>
          <w:rFonts w:ascii="Times New Roman" w:hAnsi="Times New Roman" w:cs="Times New Roman"/>
          <w:sz w:val="24"/>
          <w:szCs w:val="24"/>
        </w:rPr>
        <w:t>general principles of transparency, equal treatment, proportionality, avoidance of conflicts of interests and non-discrimination</w:t>
      </w:r>
      <w:r w:rsidR="001F51FA">
        <w:rPr>
          <w:rFonts w:ascii="Times New Roman" w:hAnsi="Times New Roman" w:cs="Times New Roman"/>
          <w:sz w:val="24"/>
          <w:szCs w:val="24"/>
        </w:rPr>
        <w:t>.</w:t>
      </w:r>
      <w:r w:rsidR="00236EF3" w:rsidRPr="00236EF3">
        <w:t xml:space="preserve"> </w:t>
      </w:r>
      <w:r w:rsidR="00236EF3" w:rsidRPr="00236EF3">
        <w:rPr>
          <w:rFonts w:ascii="Times New Roman" w:hAnsi="Times New Roman" w:cs="Times New Roman"/>
          <w:sz w:val="24"/>
          <w:szCs w:val="24"/>
        </w:rPr>
        <w:t xml:space="preserve">When assessing the </w:t>
      </w:r>
      <w:r w:rsidR="00513AD7">
        <w:rPr>
          <w:rFonts w:ascii="Times New Roman" w:hAnsi="Times New Roman" w:cs="Times New Roman"/>
          <w:sz w:val="24"/>
          <w:szCs w:val="24"/>
        </w:rPr>
        <w:t>application</w:t>
      </w:r>
      <w:r w:rsidR="00507B48">
        <w:rPr>
          <w:rFonts w:ascii="Times New Roman" w:hAnsi="Times New Roman" w:cs="Times New Roman"/>
          <w:sz w:val="24"/>
          <w:szCs w:val="24"/>
        </w:rPr>
        <w:t>s</w:t>
      </w:r>
      <w:r w:rsidR="00236EF3" w:rsidRPr="00236EF3">
        <w:rPr>
          <w:rFonts w:ascii="Times New Roman" w:hAnsi="Times New Roman" w:cs="Times New Roman"/>
          <w:sz w:val="24"/>
          <w:szCs w:val="24"/>
        </w:rPr>
        <w:t xml:space="preserve">, the Commission </w:t>
      </w:r>
      <w:r w:rsidR="00B60FC7">
        <w:rPr>
          <w:rFonts w:ascii="Times New Roman" w:hAnsi="Times New Roman" w:cs="Times New Roman"/>
          <w:sz w:val="24"/>
          <w:szCs w:val="24"/>
        </w:rPr>
        <w:t xml:space="preserve">will </w:t>
      </w:r>
      <w:r w:rsidR="00236EF3" w:rsidRPr="00236EF3">
        <w:rPr>
          <w:rFonts w:ascii="Times New Roman" w:hAnsi="Times New Roman" w:cs="Times New Roman"/>
          <w:sz w:val="24"/>
          <w:szCs w:val="24"/>
        </w:rPr>
        <w:t>apply its professional analysis and judgment during the uniform selection process described in detail in the following sections.</w:t>
      </w:r>
    </w:p>
    <w:p w14:paraId="3D6F6AFD" w14:textId="77777777" w:rsidR="00CE64D6" w:rsidRPr="005C0C5D" w:rsidRDefault="005C0C5D" w:rsidP="005C0C5D">
      <w:pPr>
        <w:pStyle w:val="Heading3"/>
        <w:numPr>
          <w:ilvl w:val="0"/>
          <w:numId w:val="0"/>
        </w:numPr>
        <w:rPr>
          <w:rFonts w:ascii="Times New Roman" w:hAnsi="Times New Roman" w:cs="Times New Roman"/>
          <w:b/>
          <w:i/>
          <w:color w:val="000000" w:themeColor="text1"/>
        </w:rPr>
      </w:pPr>
      <w:r>
        <w:rPr>
          <w:rFonts w:ascii="Times New Roman" w:hAnsi="Times New Roman" w:cs="Times New Roman"/>
          <w:b/>
          <w:i/>
          <w:color w:val="000000" w:themeColor="text1"/>
        </w:rPr>
        <w:t xml:space="preserve">4.2.1  </w:t>
      </w:r>
      <w:r>
        <w:rPr>
          <w:rFonts w:ascii="Times New Roman" w:hAnsi="Times New Roman" w:cs="Times New Roman"/>
          <w:b/>
          <w:i/>
          <w:color w:val="000000" w:themeColor="text1"/>
        </w:rPr>
        <w:tab/>
      </w:r>
      <w:r w:rsidR="00821B95" w:rsidRPr="005C0C5D">
        <w:rPr>
          <w:rFonts w:ascii="Times New Roman" w:hAnsi="Times New Roman" w:cs="Times New Roman"/>
          <w:b/>
          <w:i/>
          <w:color w:val="000000" w:themeColor="text1"/>
        </w:rPr>
        <w:t>Eligibility</w:t>
      </w:r>
      <w:r w:rsidR="00666280" w:rsidRPr="005C0C5D">
        <w:rPr>
          <w:rFonts w:ascii="Times New Roman" w:hAnsi="Times New Roman" w:cs="Times New Roman"/>
          <w:b/>
          <w:i/>
          <w:color w:val="000000" w:themeColor="text1"/>
        </w:rPr>
        <w:t xml:space="preserve"> </w:t>
      </w:r>
      <w:r w:rsidR="00507B48" w:rsidRPr="005C0C5D">
        <w:rPr>
          <w:rFonts w:ascii="Times New Roman" w:hAnsi="Times New Roman" w:cs="Times New Roman"/>
          <w:b/>
          <w:i/>
          <w:color w:val="000000" w:themeColor="text1"/>
        </w:rPr>
        <w:t>c</w:t>
      </w:r>
      <w:r w:rsidR="00666280" w:rsidRPr="005C0C5D">
        <w:rPr>
          <w:rFonts w:ascii="Times New Roman" w:hAnsi="Times New Roman" w:cs="Times New Roman"/>
          <w:b/>
          <w:i/>
          <w:color w:val="000000" w:themeColor="text1"/>
        </w:rPr>
        <w:t>heck</w:t>
      </w:r>
    </w:p>
    <w:p w14:paraId="76683A5B" w14:textId="77777777" w:rsidR="0045512D" w:rsidRPr="00822F5B" w:rsidRDefault="00507B48" w:rsidP="00513AD7">
      <w:pPr>
        <w:spacing w:before="240"/>
        <w:ind w:left="425" w:hanging="425"/>
        <w:jc w:val="both"/>
        <w:rPr>
          <w:rFonts w:ascii="Times New Roman" w:hAnsi="Times New Roman" w:cs="Times New Roman"/>
          <w:sz w:val="24"/>
          <w:szCs w:val="24"/>
        </w:rPr>
      </w:pPr>
      <w:r>
        <w:rPr>
          <w:rFonts w:ascii="Times New Roman" w:hAnsi="Times New Roman" w:cs="Times New Roman"/>
          <w:sz w:val="24"/>
          <w:szCs w:val="24"/>
        </w:rPr>
        <w:t>Under the eligibility check, t</w:t>
      </w:r>
      <w:r w:rsidR="00DF6DB3">
        <w:rPr>
          <w:rFonts w:ascii="Times New Roman" w:hAnsi="Times New Roman" w:cs="Times New Roman"/>
          <w:sz w:val="24"/>
          <w:szCs w:val="24"/>
        </w:rPr>
        <w:t xml:space="preserve">he </w:t>
      </w:r>
      <w:r w:rsidR="00281812">
        <w:rPr>
          <w:rFonts w:ascii="Times New Roman" w:hAnsi="Times New Roman" w:cs="Times New Roman"/>
          <w:sz w:val="24"/>
          <w:szCs w:val="24"/>
        </w:rPr>
        <w:t>Commission</w:t>
      </w:r>
      <w:r w:rsidR="0045512D" w:rsidRPr="00822F5B">
        <w:rPr>
          <w:rFonts w:ascii="Times New Roman" w:hAnsi="Times New Roman" w:cs="Times New Roman"/>
          <w:sz w:val="24"/>
          <w:szCs w:val="24"/>
        </w:rPr>
        <w:t xml:space="preserve"> </w:t>
      </w:r>
      <w:r w:rsidR="00D77540">
        <w:rPr>
          <w:rFonts w:ascii="Times New Roman" w:hAnsi="Times New Roman" w:cs="Times New Roman"/>
          <w:sz w:val="24"/>
          <w:szCs w:val="24"/>
        </w:rPr>
        <w:t xml:space="preserve">will </w:t>
      </w:r>
      <w:r w:rsidR="0045512D" w:rsidRPr="00822F5B">
        <w:rPr>
          <w:rFonts w:ascii="Times New Roman" w:hAnsi="Times New Roman" w:cs="Times New Roman"/>
          <w:sz w:val="24"/>
          <w:szCs w:val="24"/>
        </w:rPr>
        <w:t>assess whether</w:t>
      </w:r>
      <w:r w:rsidR="00733A95">
        <w:rPr>
          <w:rFonts w:ascii="Times New Roman" w:hAnsi="Times New Roman" w:cs="Times New Roman"/>
          <w:sz w:val="24"/>
          <w:szCs w:val="24"/>
        </w:rPr>
        <w:t xml:space="preserve"> the </w:t>
      </w:r>
      <w:r w:rsidR="005B14F2">
        <w:rPr>
          <w:rFonts w:ascii="Times New Roman" w:hAnsi="Times New Roman" w:cs="Times New Roman"/>
          <w:sz w:val="24"/>
          <w:szCs w:val="24"/>
        </w:rPr>
        <w:t>c</w:t>
      </w:r>
      <w:r w:rsidR="00513AD7">
        <w:rPr>
          <w:rFonts w:ascii="Times New Roman" w:hAnsi="Times New Roman" w:cs="Times New Roman"/>
          <w:sz w:val="24"/>
          <w:szCs w:val="24"/>
        </w:rPr>
        <w:t>andidate entity</w:t>
      </w:r>
      <w:r w:rsidR="0045512D" w:rsidRPr="00822F5B">
        <w:rPr>
          <w:rFonts w:ascii="Times New Roman" w:hAnsi="Times New Roman" w:cs="Times New Roman"/>
          <w:sz w:val="24"/>
          <w:szCs w:val="24"/>
        </w:rPr>
        <w:t xml:space="preserve">:  </w:t>
      </w:r>
    </w:p>
    <w:p w14:paraId="1793BC15" w14:textId="4C82AB38" w:rsidR="00A80728" w:rsidRPr="00DD11D6" w:rsidRDefault="00733A95" w:rsidP="006B79D2">
      <w:pPr>
        <w:pStyle w:val="ListParagraph"/>
        <w:numPr>
          <w:ilvl w:val="0"/>
          <w:numId w:val="1"/>
        </w:numPr>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fulfils the eligibility conditions referred to in </w:t>
      </w:r>
      <w:r w:rsidR="00044272">
        <w:rPr>
          <w:rFonts w:ascii="Times New Roman" w:hAnsi="Times New Roman" w:cs="Times New Roman"/>
          <w:sz w:val="24"/>
          <w:szCs w:val="24"/>
        </w:rPr>
        <w:t>s</w:t>
      </w:r>
      <w:r>
        <w:rPr>
          <w:rFonts w:ascii="Times New Roman" w:hAnsi="Times New Roman" w:cs="Times New Roman"/>
          <w:sz w:val="24"/>
          <w:szCs w:val="24"/>
        </w:rPr>
        <w:t>ection 3.1 of this Call</w:t>
      </w:r>
      <w:r w:rsidR="00DD4644" w:rsidRPr="00DD4644">
        <w:rPr>
          <w:rFonts w:ascii="Times New Roman" w:hAnsi="Times New Roman" w:cs="Times New Roman"/>
          <w:sz w:val="24"/>
          <w:szCs w:val="24"/>
        </w:rPr>
        <w:t>;</w:t>
      </w:r>
    </w:p>
    <w:p w14:paraId="19A33165" w14:textId="77777777" w:rsidR="00EF7083" w:rsidRDefault="00733A95" w:rsidP="006B79D2">
      <w:pPr>
        <w:pStyle w:val="ListParagraph"/>
        <w:numPr>
          <w:ilvl w:val="0"/>
          <w:numId w:val="1"/>
        </w:numPr>
        <w:spacing w:after="24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has </w:t>
      </w:r>
      <w:r w:rsidR="0045512D" w:rsidRPr="00EF7083">
        <w:rPr>
          <w:rFonts w:ascii="Times New Roman" w:hAnsi="Times New Roman" w:cs="Times New Roman"/>
          <w:sz w:val="24"/>
          <w:szCs w:val="24"/>
        </w:rPr>
        <w:t xml:space="preserve">submitted </w:t>
      </w:r>
      <w:r>
        <w:rPr>
          <w:rFonts w:ascii="Times New Roman" w:hAnsi="Times New Roman" w:cs="Times New Roman"/>
          <w:sz w:val="24"/>
          <w:szCs w:val="24"/>
        </w:rPr>
        <w:t xml:space="preserve">its </w:t>
      </w:r>
      <w:r w:rsidR="000309CF">
        <w:rPr>
          <w:rFonts w:ascii="Times New Roman" w:hAnsi="Times New Roman" w:cs="Times New Roman"/>
          <w:sz w:val="24"/>
          <w:szCs w:val="24"/>
        </w:rPr>
        <w:t xml:space="preserve">signed </w:t>
      </w:r>
      <w:r w:rsidR="00513AD7">
        <w:rPr>
          <w:rFonts w:ascii="Times New Roman" w:hAnsi="Times New Roman" w:cs="Times New Roman"/>
          <w:sz w:val="24"/>
          <w:szCs w:val="24"/>
        </w:rPr>
        <w:t>application</w:t>
      </w:r>
      <w:r>
        <w:rPr>
          <w:rFonts w:ascii="Times New Roman" w:hAnsi="Times New Roman" w:cs="Times New Roman"/>
          <w:sz w:val="24"/>
          <w:szCs w:val="24"/>
        </w:rPr>
        <w:t xml:space="preserve"> </w:t>
      </w:r>
      <w:r w:rsidR="000309CF">
        <w:rPr>
          <w:rFonts w:ascii="Times New Roman" w:hAnsi="Times New Roman" w:cs="Times New Roman"/>
          <w:sz w:val="24"/>
          <w:szCs w:val="24"/>
        </w:rPr>
        <w:t xml:space="preserve">before the cut-off dates </w:t>
      </w:r>
      <w:r w:rsidR="00DD4644">
        <w:rPr>
          <w:rFonts w:ascii="Times New Roman" w:hAnsi="Times New Roman" w:cs="Times New Roman"/>
          <w:sz w:val="24"/>
          <w:szCs w:val="24"/>
        </w:rPr>
        <w:t>spec</w:t>
      </w:r>
      <w:r>
        <w:rPr>
          <w:rFonts w:ascii="Times New Roman" w:hAnsi="Times New Roman" w:cs="Times New Roman"/>
          <w:sz w:val="24"/>
          <w:szCs w:val="24"/>
        </w:rPr>
        <w:t>ified in the Call,</w:t>
      </w:r>
      <w:r w:rsidR="00307908" w:rsidRPr="00EF7083">
        <w:rPr>
          <w:rFonts w:ascii="Times New Roman" w:hAnsi="Times New Roman" w:cs="Times New Roman"/>
          <w:sz w:val="24"/>
          <w:szCs w:val="24"/>
        </w:rPr>
        <w:t xml:space="preserve"> </w:t>
      </w:r>
      <w:r w:rsidR="0045512D" w:rsidRPr="00EF7083">
        <w:rPr>
          <w:rFonts w:ascii="Times New Roman" w:hAnsi="Times New Roman" w:cs="Times New Roman"/>
          <w:sz w:val="24"/>
          <w:szCs w:val="24"/>
        </w:rPr>
        <w:t>and that all information and supporting documentation required thereunder are provided in the form requested, where specified</w:t>
      </w:r>
      <w:r w:rsidR="00DD4644">
        <w:rPr>
          <w:rFonts w:ascii="Times New Roman" w:hAnsi="Times New Roman" w:cs="Times New Roman"/>
          <w:sz w:val="24"/>
          <w:szCs w:val="24"/>
        </w:rPr>
        <w:t xml:space="preserve"> (see section 4.1 and Annex</w:t>
      </w:r>
      <w:r w:rsidR="005B14F2">
        <w:rPr>
          <w:rFonts w:ascii="Times New Roman" w:hAnsi="Times New Roman" w:cs="Times New Roman"/>
          <w:sz w:val="24"/>
          <w:szCs w:val="24"/>
        </w:rPr>
        <w:t>);</w:t>
      </w:r>
      <w:r w:rsidR="0045512D" w:rsidRPr="00EF7083">
        <w:rPr>
          <w:rFonts w:ascii="Times New Roman" w:hAnsi="Times New Roman" w:cs="Times New Roman"/>
          <w:sz w:val="24"/>
          <w:szCs w:val="24"/>
        </w:rPr>
        <w:t xml:space="preserve"> </w:t>
      </w:r>
    </w:p>
    <w:p w14:paraId="24AAB946" w14:textId="77777777" w:rsidR="00DD4644" w:rsidRDefault="00DD4644" w:rsidP="005B14F2">
      <w:pPr>
        <w:pStyle w:val="ListParagraph"/>
        <w:numPr>
          <w:ilvl w:val="0"/>
          <w:numId w:val="1"/>
        </w:numPr>
        <w:spacing w:after="24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is not in one of the exclusion situations as per Article 136(1) of the Financial Regulation</w:t>
      </w:r>
      <w:r w:rsidR="005B14F2" w:rsidRPr="005B14F2">
        <w:rPr>
          <w:rFonts w:ascii="Times New Roman" w:hAnsi="Times New Roman" w:cs="Times New Roman"/>
          <w:sz w:val="24"/>
          <w:szCs w:val="24"/>
        </w:rPr>
        <w:t>; and</w:t>
      </w:r>
    </w:p>
    <w:p w14:paraId="44927424" w14:textId="77777777" w:rsidR="00733A95" w:rsidRDefault="00733A95" w:rsidP="006B79D2">
      <w:pPr>
        <w:pStyle w:val="ListParagraph"/>
        <w:numPr>
          <w:ilvl w:val="0"/>
          <w:numId w:val="1"/>
        </w:numPr>
        <w:spacing w:after="24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has the appropriate knowledge in the defence sector and in particular in the management of large cooperative </w:t>
      </w:r>
      <w:r w:rsidR="00A04952">
        <w:rPr>
          <w:rFonts w:ascii="Times New Roman" w:hAnsi="Times New Roman" w:cs="Times New Roman"/>
          <w:sz w:val="24"/>
          <w:szCs w:val="24"/>
        </w:rPr>
        <w:t>action</w:t>
      </w:r>
      <w:r>
        <w:rPr>
          <w:rFonts w:ascii="Times New Roman" w:hAnsi="Times New Roman" w:cs="Times New Roman"/>
          <w:sz w:val="24"/>
          <w:szCs w:val="24"/>
        </w:rPr>
        <w:t>s in defence research or capacity development at European or international level</w:t>
      </w:r>
    </w:p>
    <w:p w14:paraId="417E6E62" w14:textId="77777777" w:rsidR="00733A95" w:rsidRPr="00733A95" w:rsidRDefault="00733A95" w:rsidP="00733A95">
      <w:pPr>
        <w:spacing w:after="240"/>
        <w:jc w:val="both"/>
        <w:rPr>
          <w:rFonts w:ascii="Times New Roman" w:hAnsi="Times New Roman" w:cs="Times New Roman"/>
          <w:sz w:val="24"/>
          <w:szCs w:val="24"/>
        </w:rPr>
      </w:pPr>
      <w:r w:rsidRPr="00733A95">
        <w:rPr>
          <w:rFonts w:ascii="Times New Roman" w:hAnsi="Times New Roman" w:cs="Times New Roman"/>
          <w:sz w:val="24"/>
          <w:szCs w:val="24"/>
        </w:rPr>
        <w:t xml:space="preserve">Required supporting information and/or supporting documents to be provided in the </w:t>
      </w:r>
      <w:r w:rsidR="005B14F2">
        <w:rPr>
          <w:rFonts w:ascii="Times New Roman" w:hAnsi="Times New Roman" w:cs="Times New Roman"/>
          <w:sz w:val="24"/>
          <w:szCs w:val="24"/>
        </w:rPr>
        <w:t>a</w:t>
      </w:r>
      <w:r w:rsidR="00513AD7">
        <w:rPr>
          <w:rFonts w:ascii="Times New Roman" w:hAnsi="Times New Roman" w:cs="Times New Roman"/>
          <w:sz w:val="24"/>
          <w:szCs w:val="24"/>
        </w:rPr>
        <w:t>pplication</w:t>
      </w:r>
      <w:r w:rsidRPr="00733A95">
        <w:rPr>
          <w:rFonts w:ascii="Times New Roman" w:hAnsi="Times New Roman" w:cs="Times New Roman"/>
          <w:sz w:val="24"/>
          <w:szCs w:val="24"/>
        </w:rPr>
        <w:t xml:space="preserve"> are specified in </w:t>
      </w:r>
      <w:r w:rsidR="000309CF">
        <w:rPr>
          <w:rFonts w:ascii="Times New Roman" w:hAnsi="Times New Roman" w:cs="Times New Roman"/>
          <w:sz w:val="24"/>
          <w:szCs w:val="24"/>
        </w:rPr>
        <w:t xml:space="preserve">the </w:t>
      </w:r>
      <w:r w:rsidRPr="00733A95">
        <w:rPr>
          <w:rFonts w:ascii="Times New Roman" w:hAnsi="Times New Roman" w:cs="Times New Roman"/>
          <w:sz w:val="24"/>
          <w:szCs w:val="24"/>
        </w:rPr>
        <w:t>Annex</w:t>
      </w:r>
      <w:r w:rsidR="000309CF">
        <w:rPr>
          <w:rFonts w:ascii="Times New Roman" w:hAnsi="Times New Roman" w:cs="Times New Roman"/>
          <w:sz w:val="24"/>
          <w:szCs w:val="24"/>
        </w:rPr>
        <w:t>.</w:t>
      </w:r>
    </w:p>
    <w:p w14:paraId="2A5D6F42" w14:textId="77777777" w:rsidR="00733A95" w:rsidRDefault="00733A95" w:rsidP="00914D90">
      <w:pPr>
        <w:spacing w:after="240"/>
        <w:jc w:val="both"/>
        <w:rPr>
          <w:rFonts w:ascii="Times New Roman" w:hAnsi="Times New Roman" w:cs="Times New Roman"/>
          <w:sz w:val="24"/>
          <w:szCs w:val="24"/>
        </w:rPr>
      </w:pPr>
      <w:r w:rsidRPr="00733A95">
        <w:rPr>
          <w:rFonts w:ascii="Times New Roman" w:hAnsi="Times New Roman" w:cs="Times New Roman"/>
          <w:sz w:val="24"/>
          <w:szCs w:val="24"/>
        </w:rPr>
        <w:t xml:space="preserve">Only </w:t>
      </w:r>
      <w:r w:rsidR="005B14F2">
        <w:rPr>
          <w:rFonts w:ascii="Times New Roman" w:hAnsi="Times New Roman" w:cs="Times New Roman"/>
          <w:sz w:val="24"/>
          <w:szCs w:val="24"/>
        </w:rPr>
        <w:t>a</w:t>
      </w:r>
      <w:r w:rsidR="00513AD7">
        <w:rPr>
          <w:rFonts w:ascii="Times New Roman" w:hAnsi="Times New Roman" w:cs="Times New Roman"/>
          <w:sz w:val="24"/>
          <w:szCs w:val="24"/>
        </w:rPr>
        <w:t>pplication</w:t>
      </w:r>
      <w:r w:rsidRPr="00733A95">
        <w:rPr>
          <w:rFonts w:ascii="Times New Roman" w:hAnsi="Times New Roman" w:cs="Times New Roman"/>
          <w:sz w:val="24"/>
          <w:szCs w:val="24"/>
        </w:rPr>
        <w:t>s that meet all these criteria will be considered.</w:t>
      </w:r>
    </w:p>
    <w:p w14:paraId="5D81FFA8" w14:textId="77777777" w:rsidR="00134AE0" w:rsidRPr="00AE7F6D" w:rsidRDefault="00134AE0" w:rsidP="00914D90">
      <w:pPr>
        <w:pStyle w:val="Heading3"/>
        <w:numPr>
          <w:ilvl w:val="0"/>
          <w:numId w:val="0"/>
        </w:numPr>
        <w:spacing w:before="0"/>
        <w:jc w:val="both"/>
        <w:rPr>
          <w:rFonts w:ascii="Times New Roman" w:hAnsi="Times New Roman" w:cs="Times New Roman"/>
          <w:color w:val="auto"/>
        </w:rPr>
      </w:pPr>
      <w:r w:rsidRPr="00AE7F6D">
        <w:rPr>
          <w:rFonts w:ascii="Times New Roman" w:hAnsi="Times New Roman" w:cs="Times New Roman"/>
          <w:color w:val="auto"/>
        </w:rPr>
        <w:t>As previously stated, EDA and OCCAR must sen</w:t>
      </w:r>
      <w:r w:rsidR="00AE7F6D">
        <w:rPr>
          <w:rFonts w:ascii="Times New Roman" w:hAnsi="Times New Roman" w:cs="Times New Roman"/>
          <w:color w:val="auto"/>
        </w:rPr>
        <w:t>d</w:t>
      </w:r>
      <w:r w:rsidRPr="00AE7F6D">
        <w:rPr>
          <w:rFonts w:ascii="Times New Roman" w:hAnsi="Times New Roman" w:cs="Times New Roman"/>
          <w:color w:val="auto"/>
        </w:rPr>
        <w:t xml:space="preserve"> to the Commission a signed application. With the acknowledgement of receipt, the Commission will inform EDA and OCCAR on the scope of the pillar assessment they must conduct to comply with the terms of reference adopted by the Commission in 2019.</w:t>
      </w:r>
    </w:p>
    <w:p w14:paraId="43505502" w14:textId="41FE7880" w:rsidR="00733A95" w:rsidRDefault="00733A95" w:rsidP="00914D90">
      <w:pPr>
        <w:pStyle w:val="Heading3"/>
        <w:numPr>
          <w:ilvl w:val="0"/>
          <w:numId w:val="0"/>
        </w:numPr>
        <w:spacing w:before="120" w:after="120"/>
        <w:rPr>
          <w:rFonts w:ascii="Times New Roman" w:hAnsi="Times New Roman" w:cs="Times New Roman"/>
          <w:b/>
          <w:i/>
          <w:color w:val="000000" w:themeColor="text1"/>
        </w:rPr>
      </w:pPr>
      <w:r w:rsidRPr="00C5251C">
        <w:rPr>
          <w:rFonts w:ascii="Times New Roman" w:hAnsi="Times New Roman" w:cs="Times New Roman"/>
          <w:b/>
          <w:i/>
          <w:color w:val="000000" w:themeColor="text1"/>
        </w:rPr>
        <w:t xml:space="preserve">4.2.2  </w:t>
      </w:r>
      <w:r w:rsidRPr="00C5251C">
        <w:rPr>
          <w:rFonts w:ascii="Times New Roman" w:hAnsi="Times New Roman" w:cs="Times New Roman"/>
          <w:b/>
          <w:i/>
          <w:color w:val="000000" w:themeColor="text1"/>
        </w:rPr>
        <w:tab/>
        <w:t>Invitation to the pillar assessment</w:t>
      </w:r>
      <w:r w:rsidR="00C5251C" w:rsidRPr="00C5251C">
        <w:rPr>
          <w:rFonts w:ascii="Times New Roman" w:hAnsi="Times New Roman" w:cs="Times New Roman"/>
          <w:b/>
          <w:i/>
          <w:color w:val="000000" w:themeColor="text1"/>
        </w:rPr>
        <w:t xml:space="preserve"> exercise</w:t>
      </w:r>
    </w:p>
    <w:p w14:paraId="790778D3" w14:textId="70357C56" w:rsidR="00C5251C" w:rsidRDefault="00C5251C" w:rsidP="00A314CB">
      <w:pPr>
        <w:jc w:val="both"/>
        <w:rPr>
          <w:rFonts w:ascii="Times New Roman" w:hAnsi="Times New Roman" w:cs="Times New Roman"/>
          <w:sz w:val="24"/>
          <w:szCs w:val="24"/>
        </w:rPr>
      </w:pPr>
      <w:r>
        <w:rPr>
          <w:rFonts w:ascii="Times New Roman" w:hAnsi="Times New Roman" w:cs="Times New Roman"/>
          <w:sz w:val="24"/>
          <w:szCs w:val="24"/>
        </w:rPr>
        <w:t xml:space="preserve">The Commission will contact the </w:t>
      </w:r>
      <w:r w:rsidR="005B14F2">
        <w:rPr>
          <w:rFonts w:ascii="Times New Roman" w:hAnsi="Times New Roman" w:cs="Times New Roman"/>
          <w:sz w:val="24"/>
          <w:szCs w:val="24"/>
        </w:rPr>
        <w:t>c</w:t>
      </w:r>
      <w:r w:rsidR="00513AD7">
        <w:rPr>
          <w:rFonts w:ascii="Times New Roman" w:hAnsi="Times New Roman" w:cs="Times New Roman"/>
          <w:sz w:val="24"/>
          <w:szCs w:val="24"/>
        </w:rPr>
        <w:t>andidate entities</w:t>
      </w:r>
      <w:r w:rsidR="000309CF">
        <w:rPr>
          <w:rFonts w:ascii="Times New Roman" w:hAnsi="Times New Roman" w:cs="Times New Roman"/>
          <w:sz w:val="24"/>
          <w:szCs w:val="24"/>
        </w:rPr>
        <w:t xml:space="preserve"> that</w:t>
      </w:r>
      <w:r>
        <w:rPr>
          <w:rFonts w:ascii="Times New Roman" w:hAnsi="Times New Roman" w:cs="Times New Roman"/>
          <w:sz w:val="24"/>
          <w:szCs w:val="24"/>
        </w:rPr>
        <w:t xml:space="preserve"> have passed the eligibility check. These </w:t>
      </w:r>
      <w:r w:rsidR="00044272">
        <w:rPr>
          <w:rFonts w:ascii="Times New Roman" w:hAnsi="Times New Roman" w:cs="Times New Roman"/>
          <w:sz w:val="24"/>
          <w:szCs w:val="24"/>
        </w:rPr>
        <w:t xml:space="preserve">entities </w:t>
      </w:r>
      <w:r w:rsidR="000309CF">
        <w:rPr>
          <w:rFonts w:ascii="Times New Roman" w:hAnsi="Times New Roman" w:cs="Times New Roman"/>
          <w:sz w:val="24"/>
          <w:szCs w:val="24"/>
        </w:rPr>
        <w:t xml:space="preserve">can then </w:t>
      </w:r>
      <w:r>
        <w:rPr>
          <w:rFonts w:ascii="Times New Roman" w:hAnsi="Times New Roman" w:cs="Times New Roman"/>
          <w:sz w:val="24"/>
          <w:szCs w:val="24"/>
        </w:rPr>
        <w:t xml:space="preserve">start the pillar assessment exercise in accordance with the terms of references </w:t>
      </w:r>
      <w:r w:rsidR="00044272">
        <w:rPr>
          <w:rFonts w:ascii="Times New Roman" w:hAnsi="Times New Roman" w:cs="Times New Roman"/>
          <w:sz w:val="24"/>
          <w:szCs w:val="24"/>
        </w:rPr>
        <w:t xml:space="preserve">provided by </w:t>
      </w:r>
      <w:r>
        <w:rPr>
          <w:rFonts w:ascii="Times New Roman" w:hAnsi="Times New Roman" w:cs="Times New Roman"/>
          <w:sz w:val="24"/>
          <w:szCs w:val="24"/>
        </w:rPr>
        <w:t>the Commission.</w:t>
      </w:r>
    </w:p>
    <w:p w14:paraId="2EB32912" w14:textId="77777777" w:rsidR="00C5251C" w:rsidRDefault="00C5251C" w:rsidP="00A314CB">
      <w:pPr>
        <w:jc w:val="both"/>
        <w:rPr>
          <w:rFonts w:ascii="Times New Roman" w:hAnsi="Times New Roman" w:cs="Times New Roman"/>
          <w:sz w:val="24"/>
          <w:szCs w:val="24"/>
        </w:rPr>
      </w:pPr>
      <w:r>
        <w:rPr>
          <w:rFonts w:ascii="Times New Roman" w:hAnsi="Times New Roman" w:cs="Times New Roman"/>
          <w:sz w:val="24"/>
          <w:szCs w:val="24"/>
        </w:rPr>
        <w:t>Before the start of the audit, the candidate entity must communicate to the Commission:</w:t>
      </w:r>
    </w:p>
    <w:p w14:paraId="2A3B591A" w14:textId="77777777" w:rsidR="00C5251C" w:rsidRDefault="00C5251C" w:rsidP="00C525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references of the external independent auditor recruited following the appropriate procurement procedure applicable to the </w:t>
      </w:r>
      <w:r w:rsidR="00513AD7">
        <w:rPr>
          <w:rFonts w:ascii="Times New Roman" w:hAnsi="Times New Roman" w:cs="Times New Roman"/>
          <w:sz w:val="24"/>
          <w:szCs w:val="24"/>
        </w:rPr>
        <w:t>Candidate entity</w:t>
      </w:r>
      <w:r w:rsidR="000309CF">
        <w:rPr>
          <w:rFonts w:ascii="Times New Roman" w:hAnsi="Times New Roman" w:cs="Times New Roman"/>
          <w:sz w:val="24"/>
          <w:szCs w:val="24"/>
        </w:rPr>
        <w:t>;</w:t>
      </w:r>
    </w:p>
    <w:p w14:paraId="41D611D0" w14:textId="77777777" w:rsidR="00C5251C" w:rsidRDefault="00C5251C" w:rsidP="00C525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audit planning defined with the auditor;</w:t>
      </w:r>
    </w:p>
    <w:p w14:paraId="4C762A75" w14:textId="77777777" w:rsidR="00733A95" w:rsidRPr="00C5251C" w:rsidRDefault="000309CF" w:rsidP="00C525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date of the kick of meeting.</w:t>
      </w:r>
    </w:p>
    <w:p w14:paraId="6C47B8CC" w14:textId="77777777" w:rsidR="00C5251C" w:rsidRPr="0000178A" w:rsidRDefault="00C5251C" w:rsidP="00A314CB">
      <w:pPr>
        <w:jc w:val="both"/>
        <w:rPr>
          <w:rFonts w:ascii="Times New Roman" w:hAnsi="Times New Roman"/>
          <w:b/>
          <w:sz w:val="24"/>
        </w:rPr>
      </w:pPr>
      <w:r w:rsidRPr="0000178A">
        <w:rPr>
          <w:rFonts w:ascii="Times New Roman" w:hAnsi="Times New Roman"/>
          <w:b/>
          <w:sz w:val="24"/>
        </w:rPr>
        <w:t>The costs of the pillar assessment must be borne by the candidate entity.</w:t>
      </w:r>
    </w:p>
    <w:p w14:paraId="16895256" w14:textId="77777777" w:rsidR="00134AE0" w:rsidRDefault="00134AE0" w:rsidP="00A314CB">
      <w:pPr>
        <w:jc w:val="both"/>
        <w:rPr>
          <w:rFonts w:ascii="Times New Roman" w:hAnsi="Times New Roman" w:cs="Times New Roman"/>
          <w:sz w:val="24"/>
          <w:szCs w:val="24"/>
        </w:rPr>
      </w:pPr>
      <w:r>
        <w:rPr>
          <w:rFonts w:ascii="Times New Roman" w:hAnsi="Times New Roman" w:cs="Times New Roman"/>
          <w:sz w:val="24"/>
          <w:szCs w:val="24"/>
        </w:rPr>
        <w:t>I</w:t>
      </w:r>
      <w:r w:rsidRPr="00134AE0">
        <w:rPr>
          <w:rFonts w:ascii="Times New Roman" w:hAnsi="Times New Roman" w:cs="Times New Roman"/>
          <w:sz w:val="24"/>
          <w:szCs w:val="24"/>
        </w:rPr>
        <w:t xml:space="preserve">t is strongly advised </w:t>
      </w:r>
      <w:r>
        <w:rPr>
          <w:rFonts w:ascii="Times New Roman" w:hAnsi="Times New Roman" w:cs="Times New Roman"/>
          <w:sz w:val="24"/>
          <w:szCs w:val="24"/>
        </w:rPr>
        <w:t xml:space="preserve">that Candidate entities </w:t>
      </w:r>
      <w:r w:rsidRPr="00134AE0">
        <w:rPr>
          <w:rFonts w:ascii="Times New Roman" w:hAnsi="Times New Roman" w:cs="Times New Roman"/>
          <w:sz w:val="24"/>
          <w:szCs w:val="24"/>
        </w:rPr>
        <w:t>share the draft report with the Commission</w:t>
      </w:r>
      <w:r>
        <w:rPr>
          <w:rFonts w:ascii="Times New Roman" w:hAnsi="Times New Roman" w:cs="Times New Roman"/>
          <w:sz w:val="24"/>
          <w:szCs w:val="24"/>
        </w:rPr>
        <w:t xml:space="preserve"> to anticipate potential issues</w:t>
      </w:r>
      <w:r w:rsidRPr="00134AE0">
        <w:rPr>
          <w:rFonts w:ascii="Times New Roman" w:hAnsi="Times New Roman" w:cs="Times New Roman"/>
          <w:sz w:val="24"/>
          <w:szCs w:val="24"/>
        </w:rPr>
        <w:t>.</w:t>
      </w:r>
    </w:p>
    <w:p w14:paraId="2D287A32" w14:textId="77777777" w:rsidR="00A36E0D" w:rsidRPr="001C36DA" w:rsidRDefault="000309CF" w:rsidP="001C36DA">
      <w:pPr>
        <w:pStyle w:val="Heading1"/>
        <w:rPr>
          <w:sz w:val="24"/>
          <w:szCs w:val="24"/>
        </w:rPr>
      </w:pPr>
      <w:bookmarkStart w:id="8" w:name="_Toc68877365"/>
      <w:r>
        <w:rPr>
          <w:sz w:val="24"/>
          <w:szCs w:val="24"/>
        </w:rPr>
        <w:t>I</w:t>
      </w:r>
      <w:r w:rsidR="0045512D" w:rsidRPr="001C36DA">
        <w:rPr>
          <w:sz w:val="24"/>
          <w:szCs w:val="24"/>
        </w:rPr>
        <w:t>nformation on</w:t>
      </w:r>
      <w:r w:rsidR="00A36E0D" w:rsidRPr="001C36DA">
        <w:rPr>
          <w:sz w:val="24"/>
          <w:szCs w:val="24"/>
        </w:rPr>
        <w:t xml:space="preserve"> the </w:t>
      </w:r>
      <w:r w:rsidR="00A314CB">
        <w:rPr>
          <w:sz w:val="24"/>
          <w:szCs w:val="24"/>
        </w:rPr>
        <w:t xml:space="preserve">potential </w:t>
      </w:r>
      <w:r w:rsidR="00DB3AEC" w:rsidRPr="001C36DA">
        <w:rPr>
          <w:sz w:val="24"/>
          <w:szCs w:val="24"/>
        </w:rPr>
        <w:t>i</w:t>
      </w:r>
      <w:r w:rsidR="00271287" w:rsidRPr="001C36DA">
        <w:rPr>
          <w:sz w:val="24"/>
          <w:szCs w:val="24"/>
        </w:rPr>
        <w:t xml:space="preserve">mplementing </w:t>
      </w:r>
      <w:r w:rsidR="00DB3AEC" w:rsidRPr="001C36DA">
        <w:rPr>
          <w:sz w:val="24"/>
          <w:szCs w:val="24"/>
        </w:rPr>
        <w:t>p</w:t>
      </w:r>
      <w:r w:rsidR="00271287" w:rsidRPr="001C36DA">
        <w:rPr>
          <w:sz w:val="24"/>
          <w:szCs w:val="24"/>
        </w:rPr>
        <w:t>artners</w:t>
      </w:r>
      <w:bookmarkEnd w:id="8"/>
      <w:r w:rsidR="00DB3AEC" w:rsidRPr="001C36DA">
        <w:rPr>
          <w:sz w:val="24"/>
          <w:szCs w:val="24"/>
        </w:rPr>
        <w:t xml:space="preserve"> </w:t>
      </w:r>
    </w:p>
    <w:p w14:paraId="04E4988C" w14:textId="271A090C" w:rsidR="00433E78" w:rsidRDefault="0050471B" w:rsidP="00A314CB">
      <w:pPr>
        <w:spacing w:before="240"/>
        <w:jc w:val="both"/>
        <w:rPr>
          <w:rFonts w:ascii="Times New Roman" w:hAnsi="Times New Roman" w:cs="Times New Roman"/>
          <w:sz w:val="24"/>
          <w:szCs w:val="24"/>
        </w:rPr>
      </w:pPr>
      <w:r>
        <w:rPr>
          <w:rFonts w:ascii="Times New Roman" w:hAnsi="Times New Roman" w:cs="Times New Roman"/>
          <w:sz w:val="24"/>
          <w:szCs w:val="24"/>
        </w:rPr>
        <w:t xml:space="preserve">The </w:t>
      </w:r>
      <w:r w:rsidR="00281812">
        <w:rPr>
          <w:rFonts w:ascii="Times New Roman" w:hAnsi="Times New Roman" w:cs="Times New Roman"/>
          <w:sz w:val="24"/>
          <w:szCs w:val="24"/>
        </w:rPr>
        <w:t>Commission</w:t>
      </w:r>
      <w:r w:rsidR="0045512D" w:rsidRPr="00822F5B">
        <w:rPr>
          <w:rFonts w:ascii="Times New Roman" w:hAnsi="Times New Roman" w:cs="Times New Roman"/>
          <w:sz w:val="24"/>
          <w:szCs w:val="24"/>
        </w:rPr>
        <w:t xml:space="preserve"> </w:t>
      </w:r>
      <w:r w:rsidR="00717268">
        <w:rPr>
          <w:rFonts w:ascii="Times New Roman" w:hAnsi="Times New Roman" w:cs="Times New Roman"/>
          <w:sz w:val="24"/>
          <w:szCs w:val="24"/>
        </w:rPr>
        <w:t xml:space="preserve">will </w:t>
      </w:r>
      <w:r w:rsidR="000309CF">
        <w:rPr>
          <w:rFonts w:ascii="Times New Roman" w:hAnsi="Times New Roman" w:cs="Times New Roman"/>
          <w:sz w:val="24"/>
          <w:szCs w:val="24"/>
        </w:rPr>
        <w:t xml:space="preserve">communicate each year </w:t>
      </w:r>
      <w:r w:rsidR="005B14F2">
        <w:rPr>
          <w:rFonts w:ascii="Times New Roman" w:hAnsi="Times New Roman" w:cs="Times New Roman"/>
          <w:sz w:val="24"/>
          <w:szCs w:val="24"/>
        </w:rPr>
        <w:t xml:space="preserve">to the Programme Committee </w:t>
      </w:r>
      <w:r w:rsidR="00454EC2">
        <w:rPr>
          <w:rFonts w:ascii="Times New Roman" w:hAnsi="Times New Roman" w:cs="Times New Roman"/>
          <w:sz w:val="24"/>
          <w:szCs w:val="24"/>
        </w:rPr>
        <w:t xml:space="preserve">the </w:t>
      </w:r>
      <w:r w:rsidR="0045512D" w:rsidRPr="00822F5B">
        <w:rPr>
          <w:rFonts w:ascii="Times New Roman" w:hAnsi="Times New Roman" w:cs="Times New Roman"/>
          <w:sz w:val="24"/>
          <w:szCs w:val="24"/>
        </w:rPr>
        <w:t>list of</w:t>
      </w:r>
      <w:r w:rsidR="000309CF">
        <w:rPr>
          <w:rFonts w:ascii="Times New Roman" w:hAnsi="Times New Roman" w:cs="Times New Roman"/>
          <w:sz w:val="24"/>
          <w:szCs w:val="24"/>
        </w:rPr>
        <w:t xml:space="preserve"> the potential </w:t>
      </w:r>
      <w:r w:rsidR="00214CA8">
        <w:rPr>
          <w:rFonts w:ascii="Times New Roman" w:hAnsi="Times New Roman" w:cs="Times New Roman"/>
          <w:sz w:val="24"/>
          <w:szCs w:val="24"/>
        </w:rPr>
        <w:t>i</w:t>
      </w:r>
      <w:r w:rsidR="00DB3AEC">
        <w:rPr>
          <w:rFonts w:ascii="Times New Roman" w:hAnsi="Times New Roman" w:cs="Times New Roman"/>
          <w:sz w:val="24"/>
          <w:szCs w:val="24"/>
        </w:rPr>
        <w:t xml:space="preserve">mplementing </w:t>
      </w:r>
      <w:r w:rsidR="00214CA8">
        <w:rPr>
          <w:rFonts w:ascii="Times New Roman" w:hAnsi="Times New Roman" w:cs="Times New Roman"/>
          <w:sz w:val="24"/>
          <w:szCs w:val="24"/>
        </w:rPr>
        <w:t>p</w:t>
      </w:r>
      <w:r w:rsidR="00DB3AEC">
        <w:rPr>
          <w:rFonts w:ascii="Times New Roman" w:hAnsi="Times New Roman" w:cs="Times New Roman"/>
          <w:sz w:val="24"/>
          <w:szCs w:val="24"/>
        </w:rPr>
        <w:t xml:space="preserve">artners </w:t>
      </w:r>
      <w:r w:rsidR="00AC196D">
        <w:rPr>
          <w:rFonts w:ascii="Times New Roman" w:hAnsi="Times New Roman" w:cs="Times New Roman"/>
          <w:sz w:val="24"/>
          <w:szCs w:val="24"/>
        </w:rPr>
        <w:t xml:space="preserve">that </w:t>
      </w:r>
      <w:r w:rsidR="00454EC2">
        <w:rPr>
          <w:rFonts w:ascii="Times New Roman" w:hAnsi="Times New Roman" w:cs="Times New Roman"/>
          <w:sz w:val="24"/>
          <w:szCs w:val="24"/>
        </w:rPr>
        <w:t xml:space="preserve">passed successfully </w:t>
      </w:r>
      <w:r w:rsidR="000309CF">
        <w:rPr>
          <w:rFonts w:ascii="Times New Roman" w:hAnsi="Times New Roman" w:cs="Times New Roman"/>
          <w:sz w:val="24"/>
          <w:szCs w:val="24"/>
        </w:rPr>
        <w:t>the pillar assessment</w:t>
      </w:r>
      <w:r w:rsidR="00AC196D">
        <w:rPr>
          <w:rFonts w:ascii="Times New Roman" w:hAnsi="Times New Roman" w:cs="Times New Roman"/>
          <w:sz w:val="24"/>
          <w:szCs w:val="24"/>
        </w:rPr>
        <w:t xml:space="preserve">. Information </w:t>
      </w:r>
      <w:r w:rsidR="00B60FC7">
        <w:rPr>
          <w:rFonts w:ascii="Times New Roman" w:hAnsi="Times New Roman" w:cs="Times New Roman"/>
          <w:sz w:val="24"/>
          <w:szCs w:val="24"/>
        </w:rPr>
        <w:t xml:space="preserve">will </w:t>
      </w:r>
      <w:r w:rsidR="000E1E74">
        <w:rPr>
          <w:rFonts w:ascii="Times New Roman" w:hAnsi="Times New Roman" w:cs="Times New Roman"/>
          <w:sz w:val="24"/>
          <w:szCs w:val="24"/>
        </w:rPr>
        <w:t>include</w:t>
      </w:r>
      <w:r w:rsidR="00AC196D">
        <w:rPr>
          <w:rFonts w:ascii="Times New Roman" w:hAnsi="Times New Roman" w:cs="Times New Roman"/>
          <w:sz w:val="24"/>
          <w:szCs w:val="24"/>
        </w:rPr>
        <w:t>,</w:t>
      </w:r>
      <w:r w:rsidR="000E1E74">
        <w:rPr>
          <w:rFonts w:ascii="Times New Roman" w:hAnsi="Times New Roman" w:cs="Times New Roman"/>
          <w:sz w:val="24"/>
          <w:szCs w:val="24"/>
        </w:rPr>
        <w:t xml:space="preserve"> </w:t>
      </w:r>
      <w:r w:rsidR="00A36E0D">
        <w:rPr>
          <w:rFonts w:ascii="Times New Roman" w:hAnsi="Times New Roman" w:cs="Times New Roman"/>
          <w:sz w:val="24"/>
          <w:szCs w:val="24"/>
        </w:rPr>
        <w:t xml:space="preserve">for each </w:t>
      </w:r>
      <w:r w:rsidR="005B14F2">
        <w:rPr>
          <w:rFonts w:ascii="Times New Roman" w:hAnsi="Times New Roman" w:cs="Times New Roman"/>
          <w:sz w:val="24"/>
          <w:szCs w:val="24"/>
        </w:rPr>
        <w:t xml:space="preserve">potential </w:t>
      </w:r>
      <w:r w:rsidR="00214CA8">
        <w:rPr>
          <w:rFonts w:ascii="Times New Roman" w:hAnsi="Times New Roman" w:cs="Times New Roman"/>
          <w:sz w:val="24"/>
          <w:szCs w:val="24"/>
        </w:rPr>
        <w:t>i</w:t>
      </w:r>
      <w:r w:rsidR="00DB3AEC">
        <w:rPr>
          <w:rFonts w:ascii="Times New Roman" w:hAnsi="Times New Roman" w:cs="Times New Roman"/>
          <w:sz w:val="24"/>
          <w:szCs w:val="24"/>
        </w:rPr>
        <w:t xml:space="preserve">mplementing </w:t>
      </w:r>
      <w:r w:rsidR="00214CA8">
        <w:rPr>
          <w:rFonts w:ascii="Times New Roman" w:hAnsi="Times New Roman" w:cs="Times New Roman"/>
          <w:sz w:val="24"/>
          <w:szCs w:val="24"/>
        </w:rPr>
        <w:t>p</w:t>
      </w:r>
      <w:r w:rsidR="00DB3AEC">
        <w:rPr>
          <w:rFonts w:ascii="Times New Roman" w:hAnsi="Times New Roman" w:cs="Times New Roman"/>
          <w:sz w:val="24"/>
          <w:szCs w:val="24"/>
        </w:rPr>
        <w:t>artner</w:t>
      </w:r>
      <w:r w:rsidR="00AC196D">
        <w:rPr>
          <w:rFonts w:ascii="Times New Roman" w:hAnsi="Times New Roman" w:cs="Times New Roman"/>
          <w:sz w:val="24"/>
          <w:szCs w:val="24"/>
        </w:rPr>
        <w:t>,</w:t>
      </w:r>
      <w:r w:rsidR="00A36E0D">
        <w:rPr>
          <w:rFonts w:ascii="Times New Roman" w:hAnsi="Times New Roman" w:cs="Times New Roman"/>
          <w:sz w:val="24"/>
          <w:szCs w:val="24"/>
        </w:rPr>
        <w:t xml:space="preserve"> </w:t>
      </w:r>
      <w:r w:rsidR="005B14F2">
        <w:rPr>
          <w:rFonts w:ascii="Times New Roman" w:hAnsi="Times New Roman" w:cs="Times New Roman"/>
          <w:sz w:val="24"/>
          <w:szCs w:val="24"/>
        </w:rPr>
        <w:t>its</w:t>
      </w:r>
      <w:r w:rsidR="0045512D" w:rsidRPr="00822F5B">
        <w:rPr>
          <w:rFonts w:ascii="Times New Roman" w:hAnsi="Times New Roman" w:cs="Times New Roman"/>
          <w:sz w:val="24"/>
          <w:szCs w:val="24"/>
        </w:rPr>
        <w:t xml:space="preserve"> name and address</w:t>
      </w:r>
      <w:r w:rsidR="0000178A">
        <w:rPr>
          <w:rFonts w:ascii="Times New Roman" w:hAnsi="Times New Roman" w:cs="Times New Roman"/>
          <w:sz w:val="24"/>
          <w:szCs w:val="24"/>
        </w:rPr>
        <w:t xml:space="preserve"> and</w:t>
      </w:r>
      <w:r w:rsidR="005B14F2">
        <w:rPr>
          <w:rFonts w:ascii="Times New Roman" w:hAnsi="Times New Roman" w:cs="Times New Roman"/>
          <w:sz w:val="24"/>
          <w:szCs w:val="24"/>
        </w:rPr>
        <w:t xml:space="preserve"> the result of its</w:t>
      </w:r>
      <w:r w:rsidR="005B14F2" w:rsidRPr="005B14F2">
        <w:rPr>
          <w:rFonts w:ascii="Times New Roman" w:hAnsi="Times New Roman" w:cs="Times New Roman"/>
          <w:sz w:val="24"/>
          <w:szCs w:val="24"/>
        </w:rPr>
        <w:t xml:space="preserve"> assessment</w:t>
      </w:r>
      <w:r w:rsidR="00DB3AEC">
        <w:rPr>
          <w:rFonts w:ascii="Times New Roman" w:hAnsi="Times New Roman" w:cs="Times New Roman"/>
          <w:sz w:val="24"/>
          <w:szCs w:val="24"/>
        </w:rPr>
        <w:t>.</w:t>
      </w:r>
    </w:p>
    <w:p w14:paraId="50BCF82B" w14:textId="77777777" w:rsidR="005919F5" w:rsidRPr="001C36DA" w:rsidRDefault="00101EB8" w:rsidP="001C36DA">
      <w:pPr>
        <w:pStyle w:val="Heading1"/>
        <w:rPr>
          <w:sz w:val="24"/>
          <w:szCs w:val="24"/>
        </w:rPr>
      </w:pPr>
      <w:bookmarkStart w:id="9" w:name="_Toc68877366"/>
      <w:r w:rsidRPr="001C36DA">
        <w:rPr>
          <w:sz w:val="24"/>
          <w:szCs w:val="24"/>
        </w:rPr>
        <w:t>Personal data</w:t>
      </w:r>
      <w:bookmarkEnd w:id="9"/>
    </w:p>
    <w:p w14:paraId="7C896422" w14:textId="0A7626F8" w:rsidR="00101EB8" w:rsidRDefault="00101EB8" w:rsidP="00A314CB">
      <w:pPr>
        <w:spacing w:before="240"/>
        <w:jc w:val="both"/>
        <w:rPr>
          <w:rFonts w:ascii="Times New Roman" w:hAnsi="Times New Roman" w:cs="Times New Roman"/>
          <w:sz w:val="24"/>
          <w:szCs w:val="24"/>
        </w:rPr>
      </w:pPr>
      <w:r w:rsidRPr="00303BAF">
        <w:rPr>
          <w:rFonts w:ascii="Times New Roman" w:hAnsi="Times New Roman" w:cs="Times New Roman"/>
          <w:sz w:val="24"/>
          <w:szCs w:val="24"/>
        </w:rPr>
        <w:t xml:space="preserve">Any personal data provided by the </w:t>
      </w:r>
      <w:r w:rsidR="00DB4D37">
        <w:rPr>
          <w:rFonts w:ascii="Times New Roman" w:hAnsi="Times New Roman" w:cs="Times New Roman"/>
          <w:sz w:val="24"/>
          <w:szCs w:val="24"/>
        </w:rPr>
        <w:t>c</w:t>
      </w:r>
      <w:r w:rsidR="00513AD7">
        <w:rPr>
          <w:rFonts w:ascii="Times New Roman" w:hAnsi="Times New Roman" w:cs="Times New Roman"/>
          <w:sz w:val="24"/>
          <w:szCs w:val="24"/>
        </w:rPr>
        <w:t>andidate entities</w:t>
      </w:r>
      <w:r w:rsidRPr="00303BAF">
        <w:rPr>
          <w:rFonts w:ascii="Times New Roman" w:hAnsi="Times New Roman" w:cs="Times New Roman"/>
          <w:sz w:val="24"/>
          <w:szCs w:val="24"/>
        </w:rPr>
        <w:t xml:space="preserve"> </w:t>
      </w:r>
      <w:r>
        <w:rPr>
          <w:rFonts w:ascii="Times New Roman" w:hAnsi="Times New Roman" w:cs="Times New Roman"/>
          <w:sz w:val="24"/>
          <w:szCs w:val="24"/>
        </w:rPr>
        <w:t xml:space="preserve">in reply to this Call (such as name or address) </w:t>
      </w:r>
      <w:r w:rsidR="00717268">
        <w:rPr>
          <w:rFonts w:ascii="Times New Roman" w:hAnsi="Times New Roman" w:cs="Times New Roman"/>
          <w:sz w:val="24"/>
          <w:szCs w:val="24"/>
        </w:rPr>
        <w:t xml:space="preserve">will </w:t>
      </w:r>
      <w:r w:rsidRPr="00303BAF">
        <w:rPr>
          <w:rFonts w:ascii="Times New Roman" w:hAnsi="Times New Roman" w:cs="Times New Roman"/>
          <w:sz w:val="24"/>
          <w:szCs w:val="24"/>
        </w:rPr>
        <w:t xml:space="preserve">be processed by </w:t>
      </w:r>
      <w:r>
        <w:rPr>
          <w:rFonts w:ascii="Times New Roman" w:hAnsi="Times New Roman" w:cs="Times New Roman"/>
          <w:sz w:val="24"/>
          <w:szCs w:val="24"/>
        </w:rPr>
        <w:t xml:space="preserve">the Commission </w:t>
      </w:r>
      <w:r w:rsidRPr="00303BAF">
        <w:rPr>
          <w:rFonts w:ascii="Times New Roman" w:hAnsi="Times New Roman" w:cs="Times New Roman"/>
          <w:sz w:val="24"/>
          <w:szCs w:val="24"/>
        </w:rPr>
        <w:t xml:space="preserve">in compliance </w:t>
      </w:r>
      <w:r>
        <w:rPr>
          <w:rFonts w:ascii="Times New Roman" w:hAnsi="Times New Roman" w:cs="Times New Roman"/>
          <w:sz w:val="24"/>
          <w:szCs w:val="24"/>
        </w:rPr>
        <w:t xml:space="preserve">with </w:t>
      </w:r>
      <w:r w:rsidRPr="00303BAF">
        <w:rPr>
          <w:rFonts w:ascii="Times New Roman" w:hAnsi="Times New Roman" w:cs="Times New Roman"/>
          <w:sz w:val="24"/>
          <w:szCs w:val="24"/>
        </w:rPr>
        <w:t>Regulation (EU) 2018/1725 on the protection of natural persons with regard to the processing of personal data by the Union institutions, bodies offices and agencies and on</w:t>
      </w:r>
      <w:r w:rsidR="00513AD7">
        <w:rPr>
          <w:rFonts w:ascii="Times New Roman" w:hAnsi="Times New Roman" w:cs="Times New Roman"/>
          <w:sz w:val="24"/>
          <w:szCs w:val="24"/>
        </w:rPr>
        <w:t xml:space="preserve"> the free movement of such data</w:t>
      </w:r>
      <w:r w:rsidRPr="00303BAF">
        <w:rPr>
          <w:rFonts w:ascii="Times New Roman" w:hAnsi="Times New Roman" w:cs="Times New Roman"/>
          <w:sz w:val="24"/>
          <w:szCs w:val="24"/>
        </w:rPr>
        <w:t>.</w:t>
      </w:r>
    </w:p>
    <w:p w14:paraId="3DD35660" w14:textId="790A904B" w:rsidR="00513AD7" w:rsidRDefault="00513AD7" w:rsidP="00A314CB">
      <w:pPr>
        <w:rPr>
          <w:rFonts w:ascii="Times New Roman" w:hAnsi="Times New Roman" w:cs="Times New Roman"/>
          <w:b/>
          <w:sz w:val="24"/>
          <w:szCs w:val="24"/>
        </w:rPr>
      </w:pPr>
    </w:p>
    <w:p w14:paraId="254E81E9" w14:textId="77777777" w:rsidR="00EA632C" w:rsidRDefault="00EA632C" w:rsidP="00A314CB">
      <w:pPr>
        <w:rPr>
          <w:rFonts w:ascii="Times New Roman" w:hAnsi="Times New Roman" w:cs="Times New Roman"/>
          <w:b/>
          <w:sz w:val="24"/>
          <w:szCs w:val="24"/>
        </w:rPr>
      </w:pPr>
    </w:p>
    <w:p w14:paraId="3A840E9A" w14:textId="5E2F85D0" w:rsidR="00A314CB" w:rsidRDefault="00CF24D9">
      <w:pPr>
        <w:rPr>
          <w:b/>
        </w:rPr>
      </w:pPr>
      <w:r w:rsidRPr="00DA1702">
        <w:rPr>
          <w:rFonts w:ascii="Times New Roman" w:hAnsi="Times New Roman" w:cs="Times New Roman"/>
          <w:b/>
          <w:sz w:val="24"/>
          <w:szCs w:val="24"/>
        </w:rPr>
        <w:t>Annexe:</w:t>
      </w:r>
      <w:r w:rsidR="00A314CB">
        <w:rPr>
          <w:rFonts w:ascii="Times New Roman" w:hAnsi="Times New Roman" w:cs="Times New Roman"/>
          <w:b/>
          <w:sz w:val="24"/>
          <w:szCs w:val="24"/>
        </w:rPr>
        <w:t xml:space="preserve"> </w:t>
      </w:r>
      <w:bookmarkStart w:id="10" w:name="_Toc68877368"/>
      <w:r w:rsidR="00C53617" w:rsidRPr="00191286">
        <w:rPr>
          <w:b/>
          <w:sz w:val="24"/>
          <w:szCs w:val="24"/>
        </w:rPr>
        <w:tab/>
      </w:r>
      <w:r w:rsidR="00513AD7">
        <w:rPr>
          <w:b/>
          <w:sz w:val="24"/>
          <w:szCs w:val="24"/>
        </w:rPr>
        <w:t>Application</w:t>
      </w:r>
      <w:r w:rsidR="00426906" w:rsidRPr="00191286">
        <w:rPr>
          <w:b/>
          <w:sz w:val="24"/>
          <w:szCs w:val="24"/>
        </w:rPr>
        <w:t xml:space="preserve"> </w:t>
      </w:r>
      <w:r w:rsidR="00860EC8">
        <w:rPr>
          <w:b/>
          <w:sz w:val="24"/>
          <w:szCs w:val="24"/>
        </w:rPr>
        <w:t>f</w:t>
      </w:r>
      <w:r w:rsidR="00426906" w:rsidRPr="00191286">
        <w:rPr>
          <w:b/>
          <w:sz w:val="24"/>
          <w:szCs w:val="24"/>
        </w:rPr>
        <w:t xml:space="preserve">orm </w:t>
      </w:r>
      <w:bookmarkEnd w:id="10"/>
      <w:r w:rsidR="00A314CB">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A314CB" w14:paraId="61440B75" w14:textId="77777777" w:rsidTr="00506FA7">
        <w:tc>
          <w:tcPr>
            <w:tcW w:w="3369" w:type="dxa"/>
          </w:tcPr>
          <w:p w14:paraId="7730F864" w14:textId="77777777" w:rsidR="00A314CB" w:rsidRDefault="00A314CB" w:rsidP="00506FA7">
            <w:pPr>
              <w:jc w:val="right"/>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en-GB"/>
              </w:rPr>
              <w:lastRenderedPageBreak/>
              <w:drawing>
                <wp:inline distT="0" distB="0" distL="0" distR="0" wp14:anchorId="7CDCB645" wp14:editId="3A4971BF">
                  <wp:extent cx="1911600" cy="507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horizontal-en-quadri-l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1600" cy="507600"/>
                          </a:xfrm>
                          <a:prstGeom prst="rect">
                            <a:avLst/>
                          </a:prstGeom>
                        </pic:spPr>
                      </pic:pic>
                    </a:graphicData>
                  </a:graphic>
                </wp:inline>
              </w:drawing>
            </w:r>
          </w:p>
        </w:tc>
        <w:tc>
          <w:tcPr>
            <w:tcW w:w="5873" w:type="dxa"/>
            <w:vAlign w:val="bottom"/>
          </w:tcPr>
          <w:p w14:paraId="2CB61B5A" w14:textId="77777777" w:rsidR="00A314CB" w:rsidRDefault="00513AD7" w:rsidP="00506FA7">
            <w:pPr>
              <w:jc w:val="center"/>
              <w:rPr>
                <w:rFonts w:ascii="Times New Roman" w:hAnsi="Times New Roman" w:cs="Times New Roman"/>
                <w:b/>
                <w:color w:val="000000"/>
                <w:sz w:val="28"/>
                <w:szCs w:val="28"/>
              </w:rPr>
            </w:pPr>
            <w:r>
              <w:rPr>
                <w:rFonts w:ascii="Arial" w:hAnsi="Arial" w:cs="Arial"/>
                <w:b/>
                <w:color w:val="000000"/>
                <w:sz w:val="28"/>
                <w:szCs w:val="28"/>
              </w:rPr>
              <w:t>Application</w:t>
            </w:r>
            <w:r w:rsidR="00A314CB" w:rsidRPr="005C4E7B">
              <w:rPr>
                <w:rFonts w:ascii="Arial" w:hAnsi="Arial" w:cs="Arial"/>
                <w:b/>
                <w:color w:val="000000"/>
                <w:sz w:val="28"/>
                <w:szCs w:val="28"/>
              </w:rPr>
              <w:t xml:space="preserve"> form for </w:t>
            </w:r>
            <w:r w:rsidR="00A314CB">
              <w:rPr>
                <w:rFonts w:ascii="Arial" w:hAnsi="Arial" w:cs="Arial"/>
                <w:b/>
                <w:color w:val="000000"/>
                <w:sz w:val="28"/>
                <w:szCs w:val="28"/>
              </w:rPr>
              <w:t>p</w:t>
            </w:r>
            <w:r w:rsidR="00A314CB" w:rsidRPr="005C4E7B">
              <w:rPr>
                <w:rFonts w:ascii="Arial" w:hAnsi="Arial" w:cs="Arial"/>
                <w:b/>
                <w:color w:val="000000"/>
                <w:sz w:val="28"/>
                <w:szCs w:val="28"/>
              </w:rPr>
              <w:t xml:space="preserve">illar </w:t>
            </w:r>
            <w:r w:rsidR="00A314CB">
              <w:rPr>
                <w:rFonts w:ascii="Arial" w:hAnsi="Arial" w:cs="Arial"/>
                <w:b/>
                <w:color w:val="000000"/>
                <w:sz w:val="28"/>
                <w:szCs w:val="28"/>
              </w:rPr>
              <w:t>a</w:t>
            </w:r>
            <w:r w:rsidR="00A314CB" w:rsidRPr="005C4E7B">
              <w:rPr>
                <w:rFonts w:ascii="Arial" w:hAnsi="Arial" w:cs="Arial"/>
                <w:b/>
                <w:color w:val="000000"/>
                <w:sz w:val="28"/>
                <w:szCs w:val="28"/>
              </w:rPr>
              <w:t xml:space="preserve">ssessment </w:t>
            </w:r>
            <w:r w:rsidR="00A314CB">
              <w:rPr>
                <w:rFonts w:ascii="Arial" w:hAnsi="Arial" w:cs="Arial"/>
                <w:b/>
                <w:color w:val="000000"/>
                <w:sz w:val="28"/>
                <w:szCs w:val="28"/>
              </w:rPr>
              <w:t>European Defence Fund</w:t>
            </w:r>
            <w:r w:rsidR="00A314CB" w:rsidRPr="005C4E7B">
              <w:rPr>
                <w:rFonts w:ascii="Arial" w:hAnsi="Arial" w:cs="Arial"/>
                <w:b/>
                <w:color w:val="000000"/>
                <w:sz w:val="28"/>
                <w:szCs w:val="28"/>
              </w:rPr>
              <w:t xml:space="preserve"> </w:t>
            </w:r>
            <w:r w:rsidR="00A314CB">
              <w:rPr>
                <w:rFonts w:ascii="Arial" w:hAnsi="Arial" w:cs="Arial"/>
                <w:b/>
                <w:color w:val="000000"/>
                <w:sz w:val="28"/>
                <w:szCs w:val="28"/>
              </w:rPr>
              <w:t>(EDF)</w:t>
            </w:r>
          </w:p>
        </w:tc>
      </w:tr>
    </w:tbl>
    <w:p w14:paraId="0A787773" w14:textId="77777777" w:rsidR="00A314CB" w:rsidRDefault="00A314CB" w:rsidP="00A314CB">
      <w:pPr>
        <w:spacing w:after="0"/>
        <w:rPr>
          <w:rFonts w:ascii="Times New Roman" w:hAnsi="Times New Roman" w:cs="Times New Roman"/>
          <w:b/>
          <w:color w:val="000000"/>
          <w:sz w:val="28"/>
          <w:szCs w:val="28"/>
        </w:rPr>
      </w:pPr>
    </w:p>
    <w:tbl>
      <w:tblPr>
        <w:tblpPr w:leftFromText="180" w:rightFromText="180" w:vertAnchor="text" w:horzAnchor="margin" w:tblpY="216"/>
        <w:tblW w:w="9312" w:type="dxa"/>
        <w:tblBorders>
          <w:top w:val="single" w:sz="4" w:space="0" w:color="auto"/>
          <w:bottom w:val="single" w:sz="4" w:space="0" w:color="auto"/>
        </w:tblBorders>
        <w:shd w:val="clear" w:color="auto" w:fill="C0C0C0"/>
        <w:tblLook w:val="01E0" w:firstRow="1" w:lastRow="1" w:firstColumn="1" w:lastColumn="1" w:noHBand="0" w:noVBand="0"/>
      </w:tblPr>
      <w:tblGrid>
        <w:gridCol w:w="1100"/>
        <w:gridCol w:w="3081"/>
        <w:gridCol w:w="1184"/>
        <w:gridCol w:w="3947"/>
      </w:tblGrid>
      <w:tr w:rsidR="00A314CB" w:rsidRPr="004A5604" w14:paraId="5A02F8B6" w14:textId="77777777" w:rsidTr="00506FA7">
        <w:trPr>
          <w:trHeight w:val="460"/>
        </w:trPr>
        <w:tc>
          <w:tcPr>
            <w:tcW w:w="9312" w:type="dxa"/>
            <w:gridSpan w:val="4"/>
            <w:shd w:val="clear" w:color="auto" w:fill="A6A6A6" w:themeFill="background1" w:themeFillShade="A6"/>
          </w:tcPr>
          <w:p w14:paraId="4A8B387D" w14:textId="77777777" w:rsidR="00A314CB" w:rsidRPr="00E81CD3" w:rsidRDefault="00A314CB" w:rsidP="00513AD7">
            <w:pPr>
              <w:spacing w:before="120" w:after="120" w:line="240" w:lineRule="auto"/>
              <w:jc w:val="center"/>
              <w:rPr>
                <w:rFonts w:ascii="Arial" w:hAnsi="Arial" w:cs="Arial"/>
                <w:b/>
                <w:i/>
                <w:sz w:val="20"/>
                <w:szCs w:val="20"/>
              </w:rPr>
            </w:pPr>
            <w:r w:rsidRPr="00E81CD3">
              <w:rPr>
                <w:rFonts w:ascii="Arial" w:hAnsi="Arial" w:cs="Arial"/>
                <w:b/>
                <w:sz w:val="20"/>
                <w:szCs w:val="20"/>
              </w:rPr>
              <w:br w:type="page"/>
              <w:t>General Information</w:t>
            </w:r>
          </w:p>
        </w:tc>
      </w:tr>
      <w:tr w:rsidR="00A314CB" w:rsidRPr="00F454BB" w14:paraId="561E5D65"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nil"/>
            </w:tcBorders>
            <w:shd w:val="clear" w:color="auto" w:fill="auto"/>
          </w:tcPr>
          <w:p w14:paraId="3F0C4E23" w14:textId="77777777" w:rsidR="00A314CB" w:rsidRPr="00E81CD3" w:rsidRDefault="00A314CB" w:rsidP="00506FA7">
            <w:pPr>
              <w:spacing w:before="120" w:after="120" w:line="240" w:lineRule="auto"/>
              <w:rPr>
                <w:rFonts w:ascii="Arial" w:hAnsi="Arial" w:cs="Arial"/>
                <w:b/>
                <w:i/>
                <w:sz w:val="20"/>
                <w:szCs w:val="20"/>
              </w:rPr>
            </w:pPr>
            <w:r w:rsidRPr="00E81CD3">
              <w:rPr>
                <w:rFonts w:ascii="Arial" w:hAnsi="Arial" w:cs="Arial"/>
                <w:b/>
                <w:i/>
                <w:sz w:val="20"/>
                <w:szCs w:val="20"/>
              </w:rPr>
              <w:t>Entity name:</w:t>
            </w:r>
          </w:p>
        </w:tc>
      </w:tr>
      <w:tr w:rsidR="00A314CB" w:rsidRPr="004A5604" w14:paraId="5FC2BCE4"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1100" w:type="dxa"/>
            <w:tcBorders>
              <w:left w:val="nil"/>
            </w:tcBorders>
            <w:shd w:val="clear" w:color="auto" w:fill="auto"/>
          </w:tcPr>
          <w:p w14:paraId="65F1CCDF"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Address</w:t>
            </w:r>
          </w:p>
        </w:tc>
        <w:tc>
          <w:tcPr>
            <w:tcW w:w="3081" w:type="dxa"/>
            <w:shd w:val="clear" w:color="auto" w:fill="auto"/>
          </w:tcPr>
          <w:p w14:paraId="084D7768" w14:textId="77777777" w:rsidR="00A314CB" w:rsidRPr="00E81CD3" w:rsidRDefault="00A314CB" w:rsidP="00506FA7">
            <w:pPr>
              <w:spacing w:before="120" w:after="120" w:line="240" w:lineRule="auto"/>
              <w:rPr>
                <w:rFonts w:ascii="Arial" w:hAnsi="Arial" w:cs="Arial"/>
                <w:sz w:val="20"/>
                <w:szCs w:val="20"/>
              </w:rPr>
            </w:pPr>
          </w:p>
        </w:tc>
        <w:tc>
          <w:tcPr>
            <w:tcW w:w="1184" w:type="dxa"/>
            <w:shd w:val="clear" w:color="auto" w:fill="auto"/>
          </w:tcPr>
          <w:p w14:paraId="1EEA95F1"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Country</w:t>
            </w:r>
          </w:p>
        </w:tc>
        <w:tc>
          <w:tcPr>
            <w:tcW w:w="3947" w:type="dxa"/>
            <w:tcBorders>
              <w:right w:val="nil"/>
            </w:tcBorders>
            <w:shd w:val="clear" w:color="auto" w:fill="auto"/>
          </w:tcPr>
          <w:p w14:paraId="28870B21"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2770CEAD"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1100" w:type="dxa"/>
            <w:tcBorders>
              <w:left w:val="nil"/>
              <w:bottom w:val="single" w:sz="4" w:space="0" w:color="auto"/>
            </w:tcBorders>
            <w:shd w:val="clear" w:color="auto" w:fill="auto"/>
          </w:tcPr>
          <w:p w14:paraId="4CD550BE"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Phone</w:t>
            </w:r>
          </w:p>
        </w:tc>
        <w:tc>
          <w:tcPr>
            <w:tcW w:w="3081" w:type="dxa"/>
            <w:tcBorders>
              <w:bottom w:val="single" w:sz="4" w:space="0" w:color="auto"/>
            </w:tcBorders>
            <w:shd w:val="clear" w:color="auto" w:fill="auto"/>
          </w:tcPr>
          <w:p w14:paraId="2E8761AA" w14:textId="77777777" w:rsidR="00A314CB" w:rsidRPr="00E81CD3" w:rsidRDefault="00A314CB" w:rsidP="00506FA7">
            <w:pPr>
              <w:spacing w:before="120" w:after="120" w:line="240" w:lineRule="auto"/>
              <w:rPr>
                <w:rFonts w:ascii="Arial" w:hAnsi="Arial" w:cs="Arial"/>
                <w:sz w:val="20"/>
                <w:szCs w:val="20"/>
              </w:rPr>
            </w:pPr>
          </w:p>
        </w:tc>
        <w:tc>
          <w:tcPr>
            <w:tcW w:w="1184" w:type="dxa"/>
            <w:tcBorders>
              <w:bottom w:val="single" w:sz="4" w:space="0" w:color="auto"/>
            </w:tcBorders>
            <w:shd w:val="clear" w:color="auto" w:fill="auto"/>
          </w:tcPr>
          <w:p w14:paraId="1ABA8C07"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Fax</w:t>
            </w:r>
          </w:p>
        </w:tc>
        <w:tc>
          <w:tcPr>
            <w:tcW w:w="3947" w:type="dxa"/>
            <w:tcBorders>
              <w:bottom w:val="single" w:sz="4" w:space="0" w:color="auto"/>
              <w:right w:val="nil"/>
            </w:tcBorders>
            <w:shd w:val="clear" w:color="auto" w:fill="auto"/>
          </w:tcPr>
          <w:p w14:paraId="019AB726"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009D7982"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1100" w:type="dxa"/>
            <w:tcBorders>
              <w:left w:val="nil"/>
            </w:tcBorders>
            <w:shd w:val="clear" w:color="auto" w:fill="auto"/>
          </w:tcPr>
          <w:p w14:paraId="2DB57A39"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Website</w:t>
            </w:r>
          </w:p>
        </w:tc>
        <w:tc>
          <w:tcPr>
            <w:tcW w:w="8212" w:type="dxa"/>
            <w:gridSpan w:val="3"/>
            <w:tcBorders>
              <w:right w:val="nil"/>
            </w:tcBorders>
            <w:shd w:val="clear" w:color="auto" w:fill="auto"/>
          </w:tcPr>
          <w:p w14:paraId="261EA49A"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42E323C6"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nil"/>
            </w:tcBorders>
            <w:shd w:val="clear" w:color="auto" w:fill="auto"/>
          </w:tcPr>
          <w:p w14:paraId="344B2BFC" w14:textId="77777777" w:rsidR="00A314CB" w:rsidRPr="00E81CD3" w:rsidRDefault="00A314CB" w:rsidP="00506FA7">
            <w:pPr>
              <w:spacing w:before="120" w:after="120" w:line="240" w:lineRule="auto"/>
              <w:rPr>
                <w:rFonts w:ascii="Arial" w:hAnsi="Arial" w:cs="Arial"/>
                <w:b/>
                <w:i/>
                <w:sz w:val="20"/>
                <w:szCs w:val="20"/>
              </w:rPr>
            </w:pPr>
            <w:r w:rsidRPr="00E81CD3">
              <w:rPr>
                <w:rFonts w:ascii="Arial" w:hAnsi="Arial" w:cs="Arial"/>
                <w:b/>
                <w:i/>
                <w:sz w:val="20"/>
                <w:szCs w:val="20"/>
              </w:rPr>
              <w:t>Contact person in the organi</w:t>
            </w:r>
            <w:r>
              <w:rPr>
                <w:rFonts w:ascii="Arial" w:hAnsi="Arial" w:cs="Arial"/>
                <w:b/>
                <w:i/>
                <w:sz w:val="20"/>
                <w:szCs w:val="20"/>
              </w:rPr>
              <w:t>s</w:t>
            </w:r>
            <w:r w:rsidRPr="00E81CD3">
              <w:rPr>
                <w:rFonts w:ascii="Arial" w:hAnsi="Arial" w:cs="Arial"/>
                <w:b/>
                <w:i/>
                <w:sz w:val="20"/>
                <w:szCs w:val="20"/>
              </w:rPr>
              <w:t>ation:</w:t>
            </w:r>
          </w:p>
        </w:tc>
      </w:tr>
      <w:tr w:rsidR="00A314CB" w:rsidRPr="004A5604" w14:paraId="6A95D908"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511"/>
        </w:trPr>
        <w:tc>
          <w:tcPr>
            <w:tcW w:w="1100" w:type="dxa"/>
            <w:tcBorders>
              <w:left w:val="nil"/>
            </w:tcBorders>
            <w:shd w:val="clear" w:color="auto" w:fill="auto"/>
          </w:tcPr>
          <w:p w14:paraId="1EE039A0"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Name</w:t>
            </w:r>
          </w:p>
        </w:tc>
        <w:tc>
          <w:tcPr>
            <w:tcW w:w="3081" w:type="dxa"/>
            <w:tcBorders>
              <w:right w:val="nil"/>
            </w:tcBorders>
            <w:shd w:val="clear" w:color="auto" w:fill="auto"/>
          </w:tcPr>
          <w:p w14:paraId="1B0F68AC" w14:textId="77777777" w:rsidR="00A314CB" w:rsidRPr="00E81CD3" w:rsidRDefault="00A314CB" w:rsidP="00506FA7">
            <w:pPr>
              <w:spacing w:before="120" w:after="120" w:line="240" w:lineRule="auto"/>
              <w:rPr>
                <w:rFonts w:ascii="Arial" w:hAnsi="Arial" w:cs="Arial"/>
                <w:sz w:val="20"/>
                <w:szCs w:val="20"/>
              </w:rPr>
            </w:pPr>
          </w:p>
        </w:tc>
        <w:tc>
          <w:tcPr>
            <w:tcW w:w="1184" w:type="dxa"/>
            <w:tcBorders>
              <w:right w:val="nil"/>
            </w:tcBorders>
            <w:shd w:val="clear" w:color="auto" w:fill="auto"/>
          </w:tcPr>
          <w:p w14:paraId="392F5524"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Function</w:t>
            </w:r>
          </w:p>
        </w:tc>
        <w:tc>
          <w:tcPr>
            <w:tcW w:w="3947" w:type="dxa"/>
            <w:tcBorders>
              <w:right w:val="nil"/>
            </w:tcBorders>
            <w:shd w:val="clear" w:color="auto" w:fill="auto"/>
          </w:tcPr>
          <w:p w14:paraId="67E22AEE"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10D86CE7"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1100" w:type="dxa"/>
            <w:tcBorders>
              <w:left w:val="nil"/>
            </w:tcBorders>
            <w:shd w:val="clear" w:color="auto" w:fill="auto"/>
          </w:tcPr>
          <w:p w14:paraId="11B3E951"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E-Mail</w:t>
            </w:r>
          </w:p>
        </w:tc>
        <w:tc>
          <w:tcPr>
            <w:tcW w:w="3081" w:type="dxa"/>
            <w:tcBorders>
              <w:right w:val="nil"/>
            </w:tcBorders>
            <w:shd w:val="clear" w:color="auto" w:fill="auto"/>
          </w:tcPr>
          <w:p w14:paraId="3E0A80FF" w14:textId="77777777" w:rsidR="00A314CB" w:rsidRPr="00E81CD3" w:rsidRDefault="00A314CB" w:rsidP="00506FA7">
            <w:pPr>
              <w:spacing w:before="120" w:after="120" w:line="240" w:lineRule="auto"/>
              <w:rPr>
                <w:rFonts w:ascii="Arial" w:hAnsi="Arial" w:cs="Arial"/>
                <w:sz w:val="20"/>
                <w:szCs w:val="20"/>
              </w:rPr>
            </w:pPr>
          </w:p>
        </w:tc>
        <w:tc>
          <w:tcPr>
            <w:tcW w:w="1184" w:type="dxa"/>
            <w:tcBorders>
              <w:right w:val="nil"/>
            </w:tcBorders>
            <w:shd w:val="clear" w:color="auto" w:fill="auto"/>
          </w:tcPr>
          <w:p w14:paraId="340395CC"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Phone/Fax</w:t>
            </w:r>
          </w:p>
        </w:tc>
        <w:tc>
          <w:tcPr>
            <w:tcW w:w="3947" w:type="dxa"/>
            <w:tcBorders>
              <w:right w:val="nil"/>
            </w:tcBorders>
            <w:shd w:val="clear" w:color="auto" w:fill="auto"/>
          </w:tcPr>
          <w:p w14:paraId="089680D0"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193A1380"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285"/>
        </w:trPr>
        <w:tc>
          <w:tcPr>
            <w:tcW w:w="9312" w:type="dxa"/>
            <w:gridSpan w:val="4"/>
            <w:tcBorders>
              <w:left w:val="nil"/>
              <w:right w:val="nil"/>
            </w:tcBorders>
            <w:shd w:val="clear" w:color="auto" w:fill="auto"/>
          </w:tcPr>
          <w:p w14:paraId="59D69C61"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0FB28F21"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single" w:sz="4" w:space="0" w:color="FFFFFF" w:themeColor="background1"/>
            </w:tcBorders>
            <w:shd w:val="clear" w:color="auto" w:fill="A6A6A6" w:themeFill="background1" w:themeFillShade="A6"/>
          </w:tcPr>
          <w:p w14:paraId="640ADC4E" w14:textId="77777777" w:rsidR="00A314CB" w:rsidRPr="00E81CD3" w:rsidRDefault="00A314CB" w:rsidP="00506FA7">
            <w:pPr>
              <w:spacing w:before="120" w:after="120" w:line="240" w:lineRule="auto"/>
              <w:jc w:val="center"/>
              <w:rPr>
                <w:rFonts w:ascii="Arial" w:hAnsi="Arial" w:cs="Arial"/>
                <w:sz w:val="20"/>
                <w:szCs w:val="20"/>
              </w:rPr>
            </w:pPr>
            <w:r w:rsidRPr="00E81CD3">
              <w:rPr>
                <w:rFonts w:ascii="Arial" w:hAnsi="Arial" w:cs="Arial"/>
                <w:b/>
                <w:sz w:val="20"/>
                <w:szCs w:val="20"/>
              </w:rPr>
              <w:t>Legal Status</w:t>
            </w:r>
            <w:r w:rsidRPr="00E81CD3">
              <w:rPr>
                <w:rStyle w:val="FootnoteReference"/>
                <w:rFonts w:ascii="Arial" w:hAnsi="Arial" w:cs="Arial"/>
                <w:b/>
                <w:sz w:val="20"/>
                <w:szCs w:val="20"/>
              </w:rPr>
              <w:footnoteReference w:id="11"/>
            </w:r>
          </w:p>
        </w:tc>
      </w:tr>
      <w:tr w:rsidR="00A314CB" w:rsidRPr="004A5604" w14:paraId="71EB0A4F"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932"/>
        </w:trPr>
        <w:tc>
          <w:tcPr>
            <w:tcW w:w="9312" w:type="dxa"/>
            <w:gridSpan w:val="4"/>
            <w:tcBorders>
              <w:left w:val="nil"/>
              <w:right w:val="single" w:sz="4" w:space="0" w:color="FFFFFF" w:themeColor="background1"/>
            </w:tcBorders>
            <w:shd w:val="clear" w:color="auto" w:fill="auto"/>
          </w:tcPr>
          <w:p w14:paraId="5029A2F4" w14:textId="77777777" w:rsidR="00A314CB" w:rsidRPr="00E81CD3" w:rsidRDefault="00BF4598" w:rsidP="00506FA7">
            <w:pPr>
              <w:spacing w:before="120" w:after="120" w:line="240" w:lineRule="auto"/>
              <w:rPr>
                <w:rFonts w:ascii="Arial" w:hAnsi="Arial" w:cs="Arial"/>
                <w:sz w:val="20"/>
                <w:szCs w:val="20"/>
              </w:rPr>
            </w:pPr>
            <w:sdt>
              <w:sdtPr>
                <w:rPr>
                  <w:rFonts w:ascii="Arial" w:hAnsi="Arial" w:cs="Arial"/>
                  <w:sz w:val="20"/>
                  <w:szCs w:val="20"/>
                </w:rPr>
                <w:id w:val="1681311271"/>
                <w14:checkbox>
                  <w14:checked w14:val="0"/>
                  <w14:checkedState w14:val="2612" w14:font="MS Gothic"/>
                  <w14:uncheckedState w14:val="2610" w14:font="MS Gothic"/>
                </w14:checkbox>
              </w:sdtPr>
              <w:sdtEndPr/>
              <w:sdtContent>
                <w:r w:rsidR="00A314CB">
                  <w:rPr>
                    <w:rFonts w:ascii="MS Gothic" w:eastAsia="MS Gothic" w:hAnsi="MS Gothic" w:cs="Arial" w:hint="eastAsia"/>
                    <w:sz w:val="20"/>
                    <w:szCs w:val="20"/>
                  </w:rPr>
                  <w:t>☐</w:t>
                </w:r>
              </w:sdtContent>
            </w:sdt>
            <w:r w:rsidR="00A314CB" w:rsidRPr="00E81CD3">
              <w:rPr>
                <w:rFonts w:ascii="Arial" w:hAnsi="Arial" w:cs="Arial"/>
                <w:sz w:val="20"/>
                <w:szCs w:val="20"/>
              </w:rPr>
              <w:t xml:space="preserve"> International organisation </w:t>
            </w:r>
            <w:r w:rsidR="00A314CB">
              <w:rPr>
                <w:rFonts w:ascii="Arial" w:hAnsi="Arial" w:cs="Arial"/>
                <w:sz w:val="20"/>
                <w:szCs w:val="20"/>
              </w:rPr>
              <w:t>(OCCAR or EDA)</w:t>
            </w:r>
          </w:p>
          <w:p w14:paraId="685D4CCB" w14:textId="4681668E" w:rsidR="00A314CB" w:rsidRDefault="00BF4598" w:rsidP="00506FA7">
            <w:pPr>
              <w:spacing w:before="120" w:after="120" w:line="240" w:lineRule="auto"/>
              <w:rPr>
                <w:rFonts w:ascii="Arial" w:hAnsi="Arial" w:cs="Arial"/>
                <w:sz w:val="20"/>
                <w:szCs w:val="20"/>
              </w:rPr>
            </w:pPr>
            <w:sdt>
              <w:sdtPr>
                <w:rPr>
                  <w:rFonts w:ascii="Arial" w:hAnsi="Arial" w:cs="Arial"/>
                  <w:sz w:val="20"/>
                  <w:szCs w:val="20"/>
                </w:rPr>
                <w:id w:val="-20859835"/>
                <w14:checkbox>
                  <w14:checked w14:val="0"/>
                  <w14:checkedState w14:val="2612" w14:font="MS Gothic"/>
                  <w14:uncheckedState w14:val="2610" w14:font="MS Gothic"/>
                </w14:checkbox>
              </w:sdtPr>
              <w:sdtEndPr/>
              <w:sdtContent>
                <w:r w:rsidR="00A314CB">
                  <w:rPr>
                    <w:rFonts w:ascii="MS Gothic" w:eastAsia="MS Gothic" w:hAnsi="MS Gothic" w:cs="Arial" w:hint="eastAsia"/>
                    <w:sz w:val="20"/>
                    <w:szCs w:val="20"/>
                  </w:rPr>
                  <w:t>☐</w:t>
                </w:r>
              </w:sdtContent>
            </w:sdt>
            <w:r w:rsidR="00A314CB" w:rsidRPr="00E81CD3">
              <w:rPr>
                <w:rFonts w:ascii="Arial" w:hAnsi="Arial" w:cs="Arial"/>
                <w:noProof/>
                <w:sz w:val="20"/>
                <w:szCs w:val="20"/>
              </w:rPr>
              <w:t xml:space="preserve"> Public law body</w:t>
            </w:r>
            <w:r w:rsidR="00C10576">
              <w:rPr>
                <w:rFonts w:ascii="Arial" w:hAnsi="Arial" w:cs="Arial"/>
                <w:noProof/>
                <w:sz w:val="20"/>
                <w:szCs w:val="20"/>
              </w:rPr>
              <w:t xml:space="preserve"> from a EDF partic</w:t>
            </w:r>
            <w:r w:rsidR="00454EC2">
              <w:rPr>
                <w:rFonts w:ascii="Arial" w:hAnsi="Arial" w:cs="Arial"/>
                <w:noProof/>
                <w:sz w:val="20"/>
                <w:szCs w:val="20"/>
              </w:rPr>
              <w:t>i</w:t>
            </w:r>
            <w:r w:rsidR="00C10576">
              <w:rPr>
                <w:rFonts w:ascii="Arial" w:hAnsi="Arial" w:cs="Arial"/>
                <w:noProof/>
                <w:sz w:val="20"/>
                <w:szCs w:val="20"/>
              </w:rPr>
              <w:t>pating Member State</w:t>
            </w:r>
            <w:r w:rsidR="00DB4D37">
              <w:rPr>
                <w:rFonts w:ascii="Arial" w:hAnsi="Arial" w:cs="Arial"/>
                <w:noProof/>
                <w:sz w:val="20"/>
                <w:szCs w:val="20"/>
              </w:rPr>
              <w:t xml:space="preserve"> or an EDF associated country</w:t>
            </w:r>
          </w:p>
          <w:p w14:paraId="5E580600" w14:textId="77777777" w:rsidR="00A314CB" w:rsidRPr="00E81CD3" w:rsidRDefault="00A314CB" w:rsidP="00506FA7">
            <w:pPr>
              <w:spacing w:before="120" w:after="120" w:line="240" w:lineRule="auto"/>
              <w:rPr>
                <w:rFonts w:ascii="Arial" w:hAnsi="Arial" w:cs="Arial"/>
                <w:sz w:val="20"/>
                <w:szCs w:val="20"/>
              </w:rPr>
            </w:pPr>
          </w:p>
        </w:tc>
      </w:tr>
      <w:tr w:rsidR="00A314CB" w:rsidRPr="004A5604" w14:paraId="0FA41627"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60"/>
        </w:trPr>
        <w:tc>
          <w:tcPr>
            <w:tcW w:w="9312" w:type="dxa"/>
            <w:gridSpan w:val="4"/>
            <w:tcBorders>
              <w:left w:val="nil"/>
              <w:right w:val="single" w:sz="4" w:space="0" w:color="FFFFFF" w:themeColor="background1"/>
            </w:tcBorders>
            <w:shd w:val="clear" w:color="auto" w:fill="A6A6A6" w:themeFill="background1" w:themeFillShade="A6"/>
          </w:tcPr>
          <w:p w14:paraId="60F77082" w14:textId="77777777" w:rsidR="00A314CB" w:rsidRPr="00E81CD3" w:rsidRDefault="00A314CB" w:rsidP="00506FA7">
            <w:pPr>
              <w:spacing w:before="120" w:after="120" w:line="240" w:lineRule="auto"/>
              <w:jc w:val="center"/>
              <w:rPr>
                <w:rFonts w:ascii="Arial" w:hAnsi="Arial" w:cs="Arial"/>
                <w:noProof/>
                <w:sz w:val="20"/>
                <w:szCs w:val="20"/>
                <w:lang w:eastAsia="en-GB"/>
              </w:rPr>
            </w:pPr>
            <w:r>
              <w:rPr>
                <w:rFonts w:ascii="Arial" w:hAnsi="Arial" w:cs="Arial"/>
                <w:b/>
                <w:sz w:val="20"/>
                <w:szCs w:val="20"/>
              </w:rPr>
              <w:t>Sector of interest</w:t>
            </w:r>
          </w:p>
        </w:tc>
      </w:tr>
      <w:tr w:rsidR="00A314CB" w:rsidRPr="004A5604" w14:paraId="0D2618B6"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1747"/>
        </w:trPr>
        <w:tc>
          <w:tcPr>
            <w:tcW w:w="9312" w:type="dxa"/>
            <w:gridSpan w:val="4"/>
            <w:tcBorders>
              <w:left w:val="nil"/>
              <w:right w:val="single" w:sz="4" w:space="0" w:color="FFFFFF" w:themeColor="background1"/>
            </w:tcBorders>
            <w:shd w:val="clear" w:color="auto" w:fill="auto"/>
          </w:tcPr>
          <w:p w14:paraId="24F2915D"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 xml:space="preserve">Please </w:t>
            </w:r>
            <w:r>
              <w:rPr>
                <w:rFonts w:ascii="Arial" w:hAnsi="Arial" w:cs="Arial"/>
                <w:sz w:val="20"/>
                <w:szCs w:val="20"/>
              </w:rPr>
              <w:t>indicate under which window of EDF you would like to implement budget</w:t>
            </w:r>
            <w:r w:rsidR="00C10576">
              <w:rPr>
                <w:rFonts w:ascii="Arial" w:hAnsi="Arial" w:cs="Arial"/>
                <w:sz w:val="20"/>
                <w:szCs w:val="20"/>
              </w:rPr>
              <w:t xml:space="preserve"> tasks</w:t>
            </w:r>
            <w:r w:rsidRPr="00E81CD3">
              <w:rPr>
                <w:rFonts w:ascii="Arial" w:hAnsi="Arial" w:cs="Arial"/>
                <w:sz w:val="20"/>
                <w:szCs w:val="20"/>
              </w:rPr>
              <w:t>:</w:t>
            </w:r>
          </w:p>
          <w:p w14:paraId="08BF634C" w14:textId="77777777" w:rsidR="00A314CB" w:rsidRPr="00E81CD3" w:rsidRDefault="00BF4598" w:rsidP="00506FA7">
            <w:pPr>
              <w:spacing w:before="240" w:after="120" w:line="240" w:lineRule="auto"/>
              <w:rPr>
                <w:rFonts w:ascii="Arial" w:hAnsi="Arial" w:cs="Arial"/>
                <w:sz w:val="20"/>
                <w:szCs w:val="20"/>
              </w:rPr>
            </w:pPr>
            <w:sdt>
              <w:sdtPr>
                <w:rPr>
                  <w:rFonts w:ascii="Arial" w:hAnsi="Arial" w:cs="Arial"/>
                  <w:sz w:val="20"/>
                  <w:szCs w:val="20"/>
                </w:rPr>
                <w:id w:val="-1847390862"/>
                <w14:checkbox>
                  <w14:checked w14:val="0"/>
                  <w14:checkedState w14:val="2612" w14:font="MS Gothic"/>
                  <w14:uncheckedState w14:val="2610" w14:font="MS Gothic"/>
                </w14:checkbox>
              </w:sdtPr>
              <w:sdtEndPr/>
              <w:sdtContent>
                <w:r w:rsidR="00C10576">
                  <w:rPr>
                    <w:rFonts w:ascii="MS Gothic" w:eastAsia="MS Gothic" w:hAnsi="MS Gothic" w:cs="Arial" w:hint="eastAsia"/>
                    <w:sz w:val="20"/>
                    <w:szCs w:val="20"/>
                  </w:rPr>
                  <w:t>☐</w:t>
                </w:r>
              </w:sdtContent>
            </w:sdt>
            <w:r w:rsidR="00A314CB" w:rsidRPr="00E81CD3">
              <w:rPr>
                <w:rFonts w:ascii="Arial" w:hAnsi="Arial" w:cs="Arial"/>
                <w:noProof/>
                <w:sz w:val="20"/>
                <w:szCs w:val="20"/>
                <w:lang w:eastAsia="en-GB"/>
              </w:rPr>
              <w:t xml:space="preserve"> </w:t>
            </w:r>
            <w:r w:rsidR="00A314CB">
              <w:rPr>
                <w:rFonts w:ascii="Arial" w:hAnsi="Arial" w:cs="Arial"/>
                <w:noProof/>
                <w:sz w:val="20"/>
                <w:szCs w:val="20"/>
                <w:lang w:eastAsia="en-GB"/>
              </w:rPr>
              <w:t>Defence capacity development</w:t>
            </w:r>
          </w:p>
          <w:p w14:paraId="31510B2A" w14:textId="77777777" w:rsidR="00A314CB" w:rsidRPr="005F25F9" w:rsidRDefault="00BF4598" w:rsidP="00506FA7">
            <w:pPr>
              <w:spacing w:before="120" w:after="120" w:line="240" w:lineRule="auto"/>
              <w:rPr>
                <w:rFonts w:ascii="Arial" w:hAnsi="Arial" w:cs="Arial"/>
                <w:sz w:val="20"/>
                <w:szCs w:val="20"/>
              </w:rPr>
            </w:pPr>
            <w:sdt>
              <w:sdtPr>
                <w:rPr>
                  <w:rFonts w:ascii="Arial" w:hAnsi="Arial" w:cs="Arial"/>
                  <w:sz w:val="20"/>
                  <w:szCs w:val="20"/>
                </w:rPr>
                <w:id w:val="167677972"/>
                <w14:checkbox>
                  <w14:checked w14:val="0"/>
                  <w14:checkedState w14:val="2612" w14:font="MS Gothic"/>
                  <w14:uncheckedState w14:val="2610" w14:font="MS Gothic"/>
                </w14:checkbox>
              </w:sdtPr>
              <w:sdtEndPr/>
              <w:sdtContent>
                <w:r w:rsidR="00A314CB">
                  <w:rPr>
                    <w:rFonts w:ascii="MS Gothic" w:eastAsia="MS Gothic" w:hAnsi="MS Gothic" w:cs="Arial" w:hint="eastAsia"/>
                    <w:sz w:val="20"/>
                    <w:szCs w:val="20"/>
                  </w:rPr>
                  <w:t>☐</w:t>
                </w:r>
              </w:sdtContent>
            </w:sdt>
            <w:r w:rsidR="00A314CB" w:rsidRPr="00E81CD3">
              <w:rPr>
                <w:rFonts w:ascii="Arial" w:hAnsi="Arial" w:cs="Arial"/>
                <w:noProof/>
                <w:sz w:val="20"/>
                <w:szCs w:val="20"/>
                <w:lang w:eastAsia="en-GB"/>
              </w:rPr>
              <w:t xml:space="preserve"> </w:t>
            </w:r>
            <w:r w:rsidR="00A314CB">
              <w:rPr>
                <w:rFonts w:ascii="Arial" w:hAnsi="Arial" w:cs="Arial"/>
                <w:noProof/>
                <w:sz w:val="20"/>
                <w:szCs w:val="20"/>
                <w:lang w:eastAsia="en-GB"/>
              </w:rPr>
              <w:t>Defence research</w:t>
            </w:r>
            <w:r w:rsidR="00A314CB" w:rsidRPr="00E81CD3">
              <w:rPr>
                <w:rFonts w:ascii="Arial" w:hAnsi="Arial" w:cs="Arial"/>
                <w:sz w:val="20"/>
                <w:szCs w:val="20"/>
              </w:rPr>
              <w:t xml:space="preserve"> </w:t>
            </w:r>
          </w:p>
        </w:tc>
      </w:tr>
      <w:tr w:rsidR="00A314CB" w:rsidRPr="004A5604" w14:paraId="43457A1F"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single" w:sz="4" w:space="0" w:color="FFFFFF" w:themeColor="background1"/>
            </w:tcBorders>
            <w:shd w:val="clear" w:color="auto" w:fill="A6A6A6" w:themeFill="background1" w:themeFillShade="A6"/>
          </w:tcPr>
          <w:p w14:paraId="098EB86A" w14:textId="77777777" w:rsidR="00A314CB" w:rsidRPr="00E81CD3" w:rsidRDefault="00A314CB" w:rsidP="00506FA7">
            <w:pPr>
              <w:spacing w:before="120" w:after="120" w:line="240" w:lineRule="auto"/>
              <w:jc w:val="center"/>
              <w:rPr>
                <w:rFonts w:ascii="Arial" w:hAnsi="Arial" w:cs="Arial"/>
                <w:sz w:val="20"/>
                <w:szCs w:val="20"/>
              </w:rPr>
            </w:pPr>
            <w:r>
              <w:rPr>
                <w:rFonts w:ascii="Arial" w:hAnsi="Arial" w:cs="Arial"/>
                <w:b/>
                <w:sz w:val="20"/>
                <w:szCs w:val="20"/>
              </w:rPr>
              <w:t>List of document to be provided</w:t>
            </w:r>
          </w:p>
        </w:tc>
      </w:tr>
      <w:tr w:rsidR="00A314CB" w:rsidRPr="004A5604" w14:paraId="2F662E39" w14:textId="77777777" w:rsidTr="00506FA7">
        <w:tblPrEx>
          <w:tblBorders>
            <w:left w:val="single" w:sz="4" w:space="0" w:color="auto"/>
            <w:right w:val="single" w:sz="4" w:space="0" w:color="auto"/>
            <w:insideH w:val="single" w:sz="4" w:space="0" w:color="auto"/>
            <w:insideV w:val="single" w:sz="4" w:space="0" w:color="auto"/>
          </w:tblBorders>
          <w:shd w:val="clear" w:color="auto" w:fill="auto"/>
        </w:tblPrEx>
        <w:trPr>
          <w:trHeight w:val="2253"/>
        </w:trPr>
        <w:tc>
          <w:tcPr>
            <w:tcW w:w="9312" w:type="dxa"/>
            <w:gridSpan w:val="4"/>
            <w:tcBorders>
              <w:left w:val="nil"/>
              <w:right w:val="single" w:sz="4" w:space="0" w:color="FFFFFF" w:themeColor="background1"/>
            </w:tcBorders>
            <w:shd w:val="clear" w:color="auto" w:fill="auto"/>
          </w:tcPr>
          <w:p w14:paraId="5B6AD944" w14:textId="77777777" w:rsidR="00A314CB" w:rsidRPr="00E81CD3" w:rsidRDefault="00A314CB" w:rsidP="00506FA7">
            <w:pPr>
              <w:spacing w:before="120" w:after="120" w:line="240" w:lineRule="auto"/>
              <w:rPr>
                <w:rFonts w:ascii="Arial" w:hAnsi="Arial" w:cs="Arial"/>
                <w:sz w:val="20"/>
                <w:szCs w:val="20"/>
              </w:rPr>
            </w:pPr>
            <w:r w:rsidRPr="00E81CD3">
              <w:rPr>
                <w:rFonts w:ascii="Arial" w:hAnsi="Arial" w:cs="Arial"/>
                <w:sz w:val="20"/>
                <w:szCs w:val="20"/>
              </w:rPr>
              <w:t>Please submit the following documents, whe</w:t>
            </w:r>
            <w:r w:rsidR="00513AD7">
              <w:rPr>
                <w:rFonts w:ascii="Arial" w:hAnsi="Arial" w:cs="Arial"/>
                <w:sz w:val="20"/>
                <w:szCs w:val="20"/>
              </w:rPr>
              <w:t>re</w:t>
            </w:r>
            <w:r w:rsidRPr="00E81CD3">
              <w:rPr>
                <w:rFonts w:ascii="Arial" w:hAnsi="Arial" w:cs="Arial"/>
                <w:sz w:val="20"/>
                <w:szCs w:val="20"/>
              </w:rPr>
              <w:t xml:space="preserve"> applicable:</w:t>
            </w:r>
          </w:p>
          <w:p w14:paraId="2D1DF606" w14:textId="77777777" w:rsidR="00A314CB" w:rsidRPr="00E81CD3" w:rsidRDefault="00A314CB" w:rsidP="006B79D2">
            <w:pPr>
              <w:numPr>
                <w:ilvl w:val="0"/>
                <w:numId w:val="4"/>
              </w:numPr>
              <w:spacing w:before="120" w:after="0" w:line="240" w:lineRule="auto"/>
              <w:rPr>
                <w:rFonts w:ascii="Arial" w:hAnsi="Arial" w:cs="Arial"/>
                <w:sz w:val="20"/>
                <w:szCs w:val="20"/>
              </w:rPr>
            </w:pPr>
            <w:r w:rsidRPr="00E81CD3">
              <w:rPr>
                <w:rFonts w:ascii="Arial" w:hAnsi="Arial" w:cs="Arial"/>
                <w:sz w:val="20"/>
                <w:szCs w:val="20"/>
              </w:rPr>
              <w:t>Copy of the constitutive incorporation deed, or any other official document demonstrating the lawful incorporation / establishment / foundation of the entity / body (e.g. intergovernmental agreement under international law; national law)</w:t>
            </w:r>
          </w:p>
          <w:p w14:paraId="7174025E" w14:textId="77777777" w:rsidR="00A314CB" w:rsidRPr="00B815F6" w:rsidRDefault="00A314CB" w:rsidP="00513AD7">
            <w:pPr>
              <w:numPr>
                <w:ilvl w:val="0"/>
                <w:numId w:val="4"/>
              </w:numPr>
              <w:spacing w:before="240" w:after="0" w:line="240" w:lineRule="auto"/>
              <w:ind w:left="714" w:hanging="357"/>
              <w:rPr>
                <w:rFonts w:ascii="Arial" w:hAnsi="Arial" w:cs="Arial"/>
                <w:b/>
                <w:sz w:val="20"/>
                <w:szCs w:val="20"/>
              </w:rPr>
            </w:pPr>
            <w:r>
              <w:rPr>
                <w:rFonts w:ascii="Arial" w:hAnsi="Arial" w:cs="Arial"/>
                <w:sz w:val="20"/>
                <w:szCs w:val="20"/>
              </w:rPr>
              <w:t>Most recent audited financial statements</w:t>
            </w:r>
          </w:p>
          <w:p w14:paraId="0A8BC737" w14:textId="77777777" w:rsidR="00A314CB" w:rsidRDefault="00A314CB" w:rsidP="00506FA7">
            <w:pPr>
              <w:spacing w:after="0" w:line="240" w:lineRule="auto"/>
              <w:ind w:left="714"/>
              <w:rPr>
                <w:rFonts w:ascii="Arial" w:hAnsi="Arial" w:cs="Arial"/>
                <w:b/>
                <w:sz w:val="20"/>
                <w:szCs w:val="20"/>
              </w:rPr>
            </w:pPr>
          </w:p>
        </w:tc>
      </w:tr>
    </w:tbl>
    <w:p w14:paraId="7E07FEBF" w14:textId="77777777" w:rsidR="00A314CB" w:rsidRPr="00FD298E" w:rsidRDefault="00B815F6" w:rsidP="00A314CB">
      <w:pPr>
        <w:tabs>
          <w:tab w:val="left" w:pos="2205"/>
          <w:tab w:val="right" w:pos="9026"/>
        </w:tabs>
        <w:spacing w:line="240" w:lineRule="auto"/>
        <w:jc w:val="center"/>
        <w:rPr>
          <w:rFonts w:ascii="Arial" w:hAnsi="Arial" w:cs="Arial"/>
          <w:b/>
          <w:sz w:val="24"/>
        </w:rPr>
      </w:pPr>
      <w:r>
        <w:rPr>
          <w:rFonts w:ascii="Arial" w:hAnsi="Arial" w:cs="Arial"/>
          <w:b/>
          <w:sz w:val="24"/>
        </w:rPr>
        <w:lastRenderedPageBreak/>
        <w:t>Questionnaire</w:t>
      </w:r>
    </w:p>
    <w:p w14:paraId="13C4CE84" w14:textId="510D0D0E" w:rsidR="00A314CB" w:rsidRPr="00FD298E" w:rsidRDefault="00A314CB" w:rsidP="00A314CB">
      <w:pPr>
        <w:jc w:val="both"/>
        <w:rPr>
          <w:rFonts w:ascii="Arial" w:hAnsi="Arial" w:cs="Arial"/>
          <w:i/>
          <w:sz w:val="20"/>
        </w:rPr>
      </w:pPr>
      <w:r w:rsidRPr="00FD298E">
        <w:rPr>
          <w:rFonts w:ascii="Arial" w:hAnsi="Arial" w:cs="Arial"/>
          <w:i/>
          <w:sz w:val="20"/>
        </w:rPr>
        <w:t xml:space="preserve">Feel free to add any information not requested in this questionnaire but that you consider relevant for </w:t>
      </w:r>
      <w:r w:rsidR="00914D90">
        <w:rPr>
          <w:rFonts w:ascii="Arial" w:hAnsi="Arial" w:cs="Arial"/>
          <w:i/>
          <w:sz w:val="20"/>
        </w:rPr>
        <w:t>the</w:t>
      </w:r>
      <w:r w:rsidRPr="00FD298E">
        <w:rPr>
          <w:rFonts w:ascii="Arial" w:hAnsi="Arial" w:cs="Arial"/>
          <w:i/>
          <w:sz w:val="20"/>
        </w:rPr>
        <w:t xml:space="preserve"> </w:t>
      </w:r>
      <w:r w:rsidRPr="00BD7922">
        <w:rPr>
          <w:rFonts w:ascii="Arial" w:hAnsi="Arial" w:cs="Arial"/>
          <w:b/>
          <w:i/>
          <w:sz w:val="20"/>
        </w:rPr>
        <w:t>eligibility check</w:t>
      </w:r>
      <w:r w:rsidRPr="00FD298E">
        <w:rPr>
          <w:rFonts w:ascii="Arial" w:hAnsi="Arial" w:cs="Arial"/>
          <w:i/>
          <w:sz w:val="20"/>
        </w:rPr>
        <w:t xml:space="preserve"> of your entity. </w:t>
      </w:r>
    </w:p>
    <w:p w14:paraId="00334B70" w14:textId="77777777" w:rsidR="00A314CB" w:rsidRPr="00FD298E" w:rsidRDefault="00A314CB" w:rsidP="006B79D2">
      <w:pPr>
        <w:pStyle w:val="ListParagraph"/>
        <w:numPr>
          <w:ilvl w:val="0"/>
          <w:numId w:val="6"/>
        </w:numPr>
        <w:spacing w:after="200" w:line="276" w:lineRule="auto"/>
        <w:jc w:val="both"/>
        <w:rPr>
          <w:rFonts w:ascii="Arial" w:hAnsi="Arial" w:cs="Arial"/>
        </w:rPr>
      </w:pPr>
      <w:r w:rsidRPr="00FD298E">
        <w:rPr>
          <w:rFonts w:ascii="Arial" w:hAnsi="Arial" w:cs="Arial"/>
        </w:rPr>
        <w:t>Describe the entity in terms of mission, historical background, geographical scope of activities, governance</w:t>
      </w:r>
      <w:r>
        <w:rPr>
          <w:rFonts w:ascii="Arial" w:hAnsi="Arial" w:cs="Arial"/>
        </w:rPr>
        <w:t xml:space="preserve"> and annual budget managed (operating budget and </w:t>
      </w:r>
      <w:r w:rsidR="00A04952">
        <w:rPr>
          <w:rFonts w:ascii="Arial" w:hAnsi="Arial" w:cs="Arial"/>
        </w:rPr>
        <w:t>action</w:t>
      </w:r>
      <w:r>
        <w:rPr>
          <w:rFonts w:ascii="Arial" w:hAnsi="Arial" w:cs="Arial"/>
        </w:rPr>
        <w:t>s’ budget)</w:t>
      </w:r>
      <w:r w:rsidRPr="00FD298E">
        <w:rPr>
          <w:rFonts w:ascii="Arial" w:hAnsi="Arial" w:cs="Arial"/>
        </w:rPr>
        <w:t>.</w:t>
      </w:r>
    </w:p>
    <w:p w14:paraId="4AE1C4FA" w14:textId="77777777" w:rsidR="00A314CB" w:rsidRPr="00FD298E" w:rsidRDefault="00A314CB" w:rsidP="00A314C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E9AFD" w14:textId="77777777" w:rsidR="00A314CB" w:rsidRPr="00FD298E" w:rsidRDefault="00A314CB" w:rsidP="006B79D2">
      <w:pPr>
        <w:pStyle w:val="ListParagraph"/>
        <w:numPr>
          <w:ilvl w:val="0"/>
          <w:numId w:val="6"/>
        </w:numPr>
        <w:spacing w:after="200" w:line="276" w:lineRule="auto"/>
        <w:jc w:val="both"/>
        <w:rPr>
          <w:rFonts w:ascii="Arial" w:hAnsi="Arial" w:cs="Arial"/>
        </w:rPr>
      </w:pPr>
      <w:r w:rsidRPr="00FD298E">
        <w:rPr>
          <w:rFonts w:ascii="Arial" w:hAnsi="Arial" w:cs="Arial"/>
        </w:rPr>
        <w:t>Does your entity benefit from a public (e.g. government) guarantee or a financial guarantee of equivalent insurance?</w:t>
      </w:r>
    </w:p>
    <w:p w14:paraId="2C9CC0EA" w14:textId="77777777" w:rsidR="00A314CB" w:rsidRPr="00FD298E" w:rsidRDefault="00A314CB" w:rsidP="00A314C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1A528" w14:textId="49E4FAB5" w:rsidR="00A314CB" w:rsidRDefault="00A314CB" w:rsidP="006B79D2">
      <w:pPr>
        <w:pStyle w:val="ListParagraph"/>
        <w:numPr>
          <w:ilvl w:val="0"/>
          <w:numId w:val="6"/>
        </w:numPr>
        <w:spacing w:after="200" w:line="276" w:lineRule="auto"/>
        <w:jc w:val="both"/>
        <w:rPr>
          <w:rFonts w:ascii="Arial" w:hAnsi="Arial" w:cs="Arial"/>
        </w:rPr>
      </w:pPr>
      <w:r>
        <w:rPr>
          <w:rFonts w:ascii="Arial" w:hAnsi="Arial" w:cs="Arial"/>
        </w:rPr>
        <w:t xml:space="preserve">Give a list of </w:t>
      </w:r>
      <w:r w:rsidR="00454EC2">
        <w:rPr>
          <w:rFonts w:ascii="Arial" w:hAnsi="Arial" w:cs="Arial"/>
        </w:rPr>
        <w:t xml:space="preserve">at least </w:t>
      </w:r>
      <w:r>
        <w:rPr>
          <w:rFonts w:ascii="Arial" w:hAnsi="Arial" w:cs="Arial"/>
        </w:rPr>
        <w:t xml:space="preserve">five </w:t>
      </w:r>
      <w:r w:rsidR="00454EC2">
        <w:rPr>
          <w:rFonts w:ascii="Arial" w:hAnsi="Arial" w:cs="Arial"/>
        </w:rPr>
        <w:t xml:space="preserve">large </w:t>
      </w:r>
      <w:r>
        <w:rPr>
          <w:rFonts w:ascii="Arial" w:hAnsi="Arial" w:cs="Arial"/>
        </w:rPr>
        <w:t xml:space="preserve">international/European cooperative </w:t>
      </w:r>
      <w:r w:rsidR="00DB4D37">
        <w:rPr>
          <w:rFonts w:ascii="Arial" w:hAnsi="Arial" w:cs="Arial"/>
        </w:rPr>
        <w:t xml:space="preserve">research and development </w:t>
      </w:r>
      <w:r w:rsidR="00454EC2">
        <w:rPr>
          <w:rFonts w:ascii="Arial" w:hAnsi="Arial" w:cs="Arial"/>
        </w:rPr>
        <w:t xml:space="preserve">projects </w:t>
      </w:r>
      <w:r>
        <w:rPr>
          <w:rFonts w:ascii="Arial" w:hAnsi="Arial" w:cs="Arial"/>
        </w:rPr>
        <w:t xml:space="preserve">managed by your entity in the five past years in the defence sector (name, defence sector, duration in months, total budget). </w:t>
      </w:r>
    </w:p>
    <w:p w14:paraId="1849A256" w14:textId="77777777" w:rsidR="00A314CB" w:rsidRDefault="00A314CB" w:rsidP="00A314CB">
      <w:pPr>
        <w:pStyle w:val="ListParagraph"/>
        <w:jc w:val="both"/>
        <w:rPr>
          <w:rFonts w:ascii="Arial" w:hAnsi="Arial" w:cs="Arial"/>
        </w:rPr>
      </w:pPr>
    </w:p>
    <w:tbl>
      <w:tblPr>
        <w:tblStyle w:val="TableGrid"/>
        <w:tblW w:w="4660" w:type="pct"/>
        <w:tblInd w:w="567" w:type="dxa"/>
        <w:tblLook w:val="04A0" w:firstRow="1" w:lastRow="0" w:firstColumn="1" w:lastColumn="0" w:noHBand="0" w:noVBand="1"/>
      </w:tblPr>
      <w:tblGrid>
        <w:gridCol w:w="1670"/>
        <w:gridCol w:w="1557"/>
        <w:gridCol w:w="1845"/>
        <w:gridCol w:w="1700"/>
        <w:gridCol w:w="1842"/>
      </w:tblGrid>
      <w:tr w:rsidR="00A314CB" w:rsidRPr="00FD298E" w14:paraId="0D024A6E" w14:textId="77777777" w:rsidTr="00506FA7">
        <w:trPr>
          <w:trHeight w:val="425"/>
        </w:trPr>
        <w:tc>
          <w:tcPr>
            <w:tcW w:w="5000" w:type="pct"/>
            <w:gridSpan w:val="5"/>
            <w:shd w:val="clear" w:color="auto" w:fill="A6A6A6" w:themeFill="background1" w:themeFillShade="A6"/>
            <w:vAlign w:val="center"/>
          </w:tcPr>
          <w:p w14:paraId="5BE57690" w14:textId="77777777" w:rsidR="00A314CB" w:rsidRPr="00FD298E" w:rsidRDefault="00A314CB" w:rsidP="00506FA7">
            <w:pPr>
              <w:jc w:val="both"/>
              <w:rPr>
                <w:rFonts w:ascii="Arial" w:hAnsi="Arial" w:cs="Arial"/>
                <w:b/>
                <w:sz w:val="20"/>
              </w:rPr>
            </w:pPr>
            <w:r w:rsidRPr="00FD298E">
              <w:rPr>
                <w:rFonts w:ascii="Arial" w:hAnsi="Arial" w:cs="Arial"/>
                <w:b/>
                <w:sz w:val="20"/>
              </w:rPr>
              <w:t xml:space="preserve">Completed co-financed </w:t>
            </w:r>
            <w:r w:rsidR="00A04952">
              <w:rPr>
                <w:rFonts w:ascii="Arial" w:hAnsi="Arial" w:cs="Arial"/>
                <w:b/>
                <w:sz w:val="20"/>
              </w:rPr>
              <w:t>action</w:t>
            </w:r>
            <w:r w:rsidRPr="00FD298E">
              <w:rPr>
                <w:rFonts w:ascii="Arial" w:hAnsi="Arial" w:cs="Arial"/>
                <w:b/>
                <w:sz w:val="20"/>
              </w:rPr>
              <w:t>s</w:t>
            </w:r>
          </w:p>
        </w:tc>
      </w:tr>
      <w:tr w:rsidR="00A314CB" w:rsidRPr="00FD298E" w14:paraId="6451E480" w14:textId="77777777" w:rsidTr="00506FA7">
        <w:trPr>
          <w:trHeight w:val="425"/>
        </w:trPr>
        <w:tc>
          <w:tcPr>
            <w:tcW w:w="969" w:type="pct"/>
            <w:vAlign w:val="center"/>
          </w:tcPr>
          <w:p w14:paraId="2BEE28D1" w14:textId="55A04A8B" w:rsidR="00A314CB" w:rsidRPr="00FD298E" w:rsidRDefault="00A314CB" w:rsidP="00506FA7">
            <w:pPr>
              <w:jc w:val="center"/>
              <w:rPr>
                <w:rFonts w:ascii="Arial" w:hAnsi="Arial" w:cs="Arial"/>
                <w:b/>
                <w:sz w:val="20"/>
              </w:rPr>
            </w:pPr>
            <w:r w:rsidRPr="00FD298E">
              <w:rPr>
                <w:rFonts w:ascii="Arial" w:hAnsi="Arial" w:cs="Arial"/>
                <w:b/>
                <w:sz w:val="20"/>
              </w:rPr>
              <w:t>Title</w:t>
            </w:r>
            <w:r>
              <w:rPr>
                <w:rFonts w:ascii="Arial" w:hAnsi="Arial" w:cs="Arial"/>
                <w:b/>
                <w:sz w:val="20"/>
              </w:rPr>
              <w:t>/name</w:t>
            </w:r>
          </w:p>
        </w:tc>
        <w:tc>
          <w:tcPr>
            <w:tcW w:w="904" w:type="pct"/>
            <w:vAlign w:val="center"/>
          </w:tcPr>
          <w:p w14:paraId="6AA09F02" w14:textId="77777777" w:rsidR="00A314CB" w:rsidRPr="00FD298E" w:rsidRDefault="00A314CB" w:rsidP="00506FA7">
            <w:pPr>
              <w:jc w:val="center"/>
              <w:rPr>
                <w:rFonts w:ascii="Arial" w:hAnsi="Arial" w:cs="Arial"/>
                <w:b/>
                <w:sz w:val="20"/>
              </w:rPr>
            </w:pPr>
            <w:r>
              <w:rPr>
                <w:rFonts w:ascii="Arial" w:hAnsi="Arial" w:cs="Arial"/>
                <w:b/>
                <w:sz w:val="20"/>
              </w:rPr>
              <w:t>Defence sector</w:t>
            </w:r>
          </w:p>
        </w:tc>
        <w:tc>
          <w:tcPr>
            <w:tcW w:w="1071" w:type="pct"/>
            <w:vAlign w:val="center"/>
          </w:tcPr>
          <w:p w14:paraId="2F00FBB3" w14:textId="77777777" w:rsidR="00A314CB" w:rsidRPr="00FD298E" w:rsidRDefault="00A314CB" w:rsidP="00506FA7">
            <w:pPr>
              <w:jc w:val="center"/>
              <w:rPr>
                <w:rFonts w:ascii="Arial" w:hAnsi="Arial" w:cs="Arial"/>
                <w:b/>
                <w:sz w:val="20"/>
              </w:rPr>
            </w:pPr>
            <w:r>
              <w:rPr>
                <w:rFonts w:ascii="Arial" w:hAnsi="Arial" w:cs="Arial"/>
                <w:b/>
                <w:sz w:val="20"/>
              </w:rPr>
              <w:t>Total budget (EUR million)</w:t>
            </w:r>
          </w:p>
        </w:tc>
        <w:tc>
          <w:tcPr>
            <w:tcW w:w="987" w:type="pct"/>
            <w:vAlign w:val="center"/>
          </w:tcPr>
          <w:p w14:paraId="53C4D20D" w14:textId="77777777" w:rsidR="00A314CB" w:rsidRPr="00FD298E" w:rsidRDefault="00A314CB" w:rsidP="00506FA7">
            <w:pPr>
              <w:jc w:val="center"/>
              <w:rPr>
                <w:rFonts w:ascii="Arial" w:hAnsi="Arial" w:cs="Arial"/>
                <w:b/>
                <w:sz w:val="20"/>
              </w:rPr>
            </w:pPr>
            <w:r>
              <w:rPr>
                <w:rFonts w:ascii="Arial" w:hAnsi="Arial" w:cs="Arial"/>
                <w:b/>
                <w:sz w:val="20"/>
              </w:rPr>
              <w:t>Duration (months)</w:t>
            </w:r>
          </w:p>
        </w:tc>
        <w:tc>
          <w:tcPr>
            <w:tcW w:w="1070" w:type="pct"/>
            <w:vAlign w:val="center"/>
          </w:tcPr>
          <w:p w14:paraId="40BB1643" w14:textId="77777777" w:rsidR="00A314CB" w:rsidRPr="00FD298E" w:rsidRDefault="00A314CB" w:rsidP="00506FA7">
            <w:pPr>
              <w:jc w:val="center"/>
              <w:rPr>
                <w:rFonts w:ascii="Arial" w:hAnsi="Arial" w:cs="Arial"/>
                <w:b/>
                <w:sz w:val="20"/>
              </w:rPr>
            </w:pPr>
            <w:r>
              <w:rPr>
                <w:rFonts w:ascii="Arial" w:hAnsi="Arial" w:cs="Arial"/>
                <w:b/>
                <w:sz w:val="20"/>
              </w:rPr>
              <w:t xml:space="preserve">Main partners and countries involved </w:t>
            </w:r>
          </w:p>
        </w:tc>
      </w:tr>
      <w:tr w:rsidR="00A314CB" w:rsidRPr="00FD298E" w14:paraId="1100C39B" w14:textId="77777777" w:rsidTr="00506FA7">
        <w:trPr>
          <w:trHeight w:val="425"/>
        </w:trPr>
        <w:tc>
          <w:tcPr>
            <w:tcW w:w="969" w:type="pct"/>
            <w:vAlign w:val="center"/>
          </w:tcPr>
          <w:p w14:paraId="34B7EC60" w14:textId="77777777" w:rsidR="00A314CB" w:rsidRPr="00FD298E" w:rsidRDefault="00A314CB" w:rsidP="00506FA7">
            <w:pPr>
              <w:jc w:val="both"/>
              <w:rPr>
                <w:rFonts w:ascii="Arial" w:hAnsi="Arial" w:cs="Arial"/>
                <w:sz w:val="20"/>
                <w:szCs w:val="24"/>
              </w:rPr>
            </w:pPr>
          </w:p>
        </w:tc>
        <w:tc>
          <w:tcPr>
            <w:tcW w:w="904" w:type="pct"/>
            <w:vAlign w:val="center"/>
          </w:tcPr>
          <w:p w14:paraId="0EF3EB9B" w14:textId="77777777" w:rsidR="00A314CB" w:rsidRPr="00FD298E" w:rsidRDefault="00A314CB" w:rsidP="00506FA7">
            <w:pPr>
              <w:jc w:val="both"/>
              <w:rPr>
                <w:rFonts w:ascii="Arial" w:hAnsi="Arial" w:cs="Arial"/>
                <w:sz w:val="20"/>
                <w:szCs w:val="24"/>
              </w:rPr>
            </w:pPr>
          </w:p>
        </w:tc>
        <w:tc>
          <w:tcPr>
            <w:tcW w:w="1071" w:type="pct"/>
            <w:vAlign w:val="center"/>
          </w:tcPr>
          <w:p w14:paraId="3EA24CC9" w14:textId="77777777" w:rsidR="00A314CB" w:rsidRPr="00FD298E" w:rsidRDefault="00A314CB" w:rsidP="00506FA7">
            <w:pPr>
              <w:jc w:val="both"/>
              <w:rPr>
                <w:rFonts w:ascii="Arial" w:hAnsi="Arial" w:cs="Arial"/>
                <w:sz w:val="20"/>
                <w:szCs w:val="24"/>
              </w:rPr>
            </w:pPr>
          </w:p>
        </w:tc>
        <w:tc>
          <w:tcPr>
            <w:tcW w:w="987" w:type="pct"/>
            <w:vAlign w:val="center"/>
          </w:tcPr>
          <w:p w14:paraId="73688CB0" w14:textId="77777777" w:rsidR="00A314CB" w:rsidRPr="00FD298E" w:rsidRDefault="00A314CB" w:rsidP="00506FA7">
            <w:pPr>
              <w:jc w:val="both"/>
              <w:rPr>
                <w:rFonts w:ascii="Arial" w:hAnsi="Arial" w:cs="Arial"/>
                <w:sz w:val="20"/>
                <w:szCs w:val="24"/>
              </w:rPr>
            </w:pPr>
          </w:p>
        </w:tc>
        <w:tc>
          <w:tcPr>
            <w:tcW w:w="1070" w:type="pct"/>
            <w:vAlign w:val="center"/>
          </w:tcPr>
          <w:p w14:paraId="0CEA3BB2" w14:textId="77777777" w:rsidR="00A314CB" w:rsidRPr="00FD298E" w:rsidRDefault="00A314CB" w:rsidP="00506FA7">
            <w:pPr>
              <w:jc w:val="both"/>
              <w:rPr>
                <w:rFonts w:ascii="Arial" w:hAnsi="Arial" w:cs="Arial"/>
                <w:sz w:val="20"/>
                <w:szCs w:val="24"/>
              </w:rPr>
            </w:pPr>
          </w:p>
        </w:tc>
      </w:tr>
      <w:tr w:rsidR="00A314CB" w:rsidRPr="00FD298E" w14:paraId="406CEAFA" w14:textId="77777777" w:rsidTr="00506FA7">
        <w:trPr>
          <w:trHeight w:val="425"/>
        </w:trPr>
        <w:tc>
          <w:tcPr>
            <w:tcW w:w="969" w:type="pct"/>
            <w:vAlign w:val="center"/>
          </w:tcPr>
          <w:p w14:paraId="655CBDAA" w14:textId="77777777" w:rsidR="00A314CB" w:rsidRPr="00FD298E" w:rsidRDefault="00A314CB" w:rsidP="00506FA7">
            <w:pPr>
              <w:jc w:val="both"/>
              <w:rPr>
                <w:rFonts w:ascii="Arial" w:hAnsi="Arial" w:cs="Arial"/>
                <w:sz w:val="20"/>
                <w:szCs w:val="24"/>
              </w:rPr>
            </w:pPr>
          </w:p>
        </w:tc>
        <w:tc>
          <w:tcPr>
            <w:tcW w:w="904" w:type="pct"/>
            <w:vAlign w:val="center"/>
          </w:tcPr>
          <w:p w14:paraId="31E510FA" w14:textId="77777777" w:rsidR="00A314CB" w:rsidRPr="00FD298E" w:rsidRDefault="00A314CB" w:rsidP="00506FA7">
            <w:pPr>
              <w:jc w:val="both"/>
              <w:rPr>
                <w:rFonts w:ascii="Arial" w:hAnsi="Arial" w:cs="Arial"/>
                <w:sz w:val="20"/>
                <w:szCs w:val="24"/>
              </w:rPr>
            </w:pPr>
          </w:p>
        </w:tc>
        <w:tc>
          <w:tcPr>
            <w:tcW w:w="1071" w:type="pct"/>
            <w:vAlign w:val="center"/>
          </w:tcPr>
          <w:p w14:paraId="3BC92814" w14:textId="77777777" w:rsidR="00A314CB" w:rsidRPr="00FD298E" w:rsidRDefault="00A314CB" w:rsidP="00506FA7">
            <w:pPr>
              <w:jc w:val="both"/>
              <w:rPr>
                <w:rFonts w:ascii="Arial" w:hAnsi="Arial" w:cs="Arial"/>
                <w:sz w:val="20"/>
                <w:szCs w:val="24"/>
              </w:rPr>
            </w:pPr>
          </w:p>
        </w:tc>
        <w:tc>
          <w:tcPr>
            <w:tcW w:w="987" w:type="pct"/>
            <w:vAlign w:val="center"/>
          </w:tcPr>
          <w:p w14:paraId="2F135844" w14:textId="77777777" w:rsidR="00A314CB" w:rsidRPr="0098117E" w:rsidRDefault="00A314CB" w:rsidP="00506FA7">
            <w:pPr>
              <w:jc w:val="both"/>
              <w:rPr>
                <w:rFonts w:ascii="Arial" w:hAnsi="Arial" w:cs="Arial"/>
                <w:sz w:val="20"/>
                <w:szCs w:val="24"/>
              </w:rPr>
            </w:pPr>
          </w:p>
        </w:tc>
        <w:tc>
          <w:tcPr>
            <w:tcW w:w="1070" w:type="pct"/>
            <w:vAlign w:val="center"/>
          </w:tcPr>
          <w:p w14:paraId="142DE9BE" w14:textId="77777777" w:rsidR="00A314CB" w:rsidRPr="00FD298E" w:rsidRDefault="00A314CB" w:rsidP="00506FA7">
            <w:pPr>
              <w:jc w:val="both"/>
              <w:rPr>
                <w:rFonts w:ascii="Arial" w:hAnsi="Arial" w:cs="Arial"/>
                <w:sz w:val="20"/>
                <w:szCs w:val="24"/>
              </w:rPr>
            </w:pPr>
          </w:p>
        </w:tc>
      </w:tr>
      <w:tr w:rsidR="00A314CB" w:rsidRPr="00FD298E" w14:paraId="2FBAB243" w14:textId="77777777" w:rsidTr="00506FA7">
        <w:trPr>
          <w:trHeight w:val="425"/>
        </w:trPr>
        <w:tc>
          <w:tcPr>
            <w:tcW w:w="969" w:type="pct"/>
            <w:vAlign w:val="center"/>
          </w:tcPr>
          <w:p w14:paraId="2D7F4134" w14:textId="77777777" w:rsidR="00A314CB" w:rsidRPr="00FD298E" w:rsidRDefault="00A314CB" w:rsidP="00506FA7">
            <w:pPr>
              <w:jc w:val="both"/>
              <w:rPr>
                <w:rFonts w:ascii="Arial" w:hAnsi="Arial" w:cs="Arial"/>
                <w:b/>
                <w:sz w:val="20"/>
              </w:rPr>
            </w:pPr>
          </w:p>
        </w:tc>
        <w:tc>
          <w:tcPr>
            <w:tcW w:w="904" w:type="pct"/>
            <w:vAlign w:val="center"/>
          </w:tcPr>
          <w:p w14:paraId="05F52D34" w14:textId="77777777" w:rsidR="00A314CB" w:rsidRPr="00FD298E" w:rsidRDefault="00A314CB" w:rsidP="00506FA7">
            <w:pPr>
              <w:jc w:val="both"/>
              <w:rPr>
                <w:rFonts w:ascii="Arial" w:hAnsi="Arial" w:cs="Arial"/>
                <w:b/>
                <w:sz w:val="20"/>
              </w:rPr>
            </w:pPr>
          </w:p>
        </w:tc>
        <w:tc>
          <w:tcPr>
            <w:tcW w:w="1071" w:type="pct"/>
            <w:vAlign w:val="center"/>
          </w:tcPr>
          <w:p w14:paraId="29D3D80B" w14:textId="77777777" w:rsidR="00A314CB" w:rsidRPr="00FD298E" w:rsidRDefault="00A314CB" w:rsidP="00506FA7">
            <w:pPr>
              <w:jc w:val="both"/>
              <w:rPr>
                <w:rFonts w:ascii="Arial" w:hAnsi="Arial" w:cs="Arial"/>
                <w:b/>
                <w:sz w:val="20"/>
              </w:rPr>
            </w:pPr>
          </w:p>
        </w:tc>
        <w:tc>
          <w:tcPr>
            <w:tcW w:w="987" w:type="pct"/>
            <w:vAlign w:val="center"/>
          </w:tcPr>
          <w:p w14:paraId="3F13E1A8" w14:textId="77777777" w:rsidR="00A314CB" w:rsidRPr="00FD298E" w:rsidRDefault="00A314CB" w:rsidP="00506FA7">
            <w:pPr>
              <w:jc w:val="both"/>
              <w:rPr>
                <w:rFonts w:ascii="Arial" w:hAnsi="Arial" w:cs="Arial"/>
                <w:b/>
                <w:sz w:val="20"/>
              </w:rPr>
            </w:pPr>
          </w:p>
        </w:tc>
        <w:tc>
          <w:tcPr>
            <w:tcW w:w="1070" w:type="pct"/>
            <w:vAlign w:val="center"/>
          </w:tcPr>
          <w:p w14:paraId="78C4C4B1" w14:textId="77777777" w:rsidR="00A314CB" w:rsidRPr="00FD298E" w:rsidRDefault="00A314CB" w:rsidP="00506FA7">
            <w:pPr>
              <w:jc w:val="both"/>
              <w:rPr>
                <w:rFonts w:ascii="Arial" w:hAnsi="Arial" w:cs="Arial"/>
                <w:b/>
                <w:sz w:val="20"/>
              </w:rPr>
            </w:pPr>
          </w:p>
        </w:tc>
      </w:tr>
      <w:tr w:rsidR="00A314CB" w:rsidRPr="00FD298E" w14:paraId="11620A86" w14:textId="77777777" w:rsidTr="00506FA7">
        <w:trPr>
          <w:trHeight w:val="425"/>
        </w:trPr>
        <w:tc>
          <w:tcPr>
            <w:tcW w:w="969" w:type="pct"/>
            <w:shd w:val="clear" w:color="auto" w:fill="FFFFFF" w:themeFill="background1"/>
            <w:vAlign w:val="center"/>
          </w:tcPr>
          <w:p w14:paraId="285586D6" w14:textId="77777777" w:rsidR="00A314CB" w:rsidRPr="00FD298E" w:rsidRDefault="00A314CB" w:rsidP="00506FA7">
            <w:pPr>
              <w:jc w:val="both"/>
              <w:rPr>
                <w:rFonts w:ascii="Arial" w:hAnsi="Arial" w:cs="Arial"/>
                <w:b/>
                <w:sz w:val="20"/>
              </w:rPr>
            </w:pPr>
          </w:p>
        </w:tc>
        <w:tc>
          <w:tcPr>
            <w:tcW w:w="904" w:type="pct"/>
            <w:shd w:val="clear" w:color="auto" w:fill="FFFFFF" w:themeFill="background1"/>
            <w:vAlign w:val="center"/>
          </w:tcPr>
          <w:p w14:paraId="7422990E" w14:textId="77777777" w:rsidR="00A314CB" w:rsidRPr="00FD298E" w:rsidRDefault="00A314CB" w:rsidP="00506FA7">
            <w:pPr>
              <w:jc w:val="both"/>
              <w:rPr>
                <w:rFonts w:ascii="Arial" w:hAnsi="Arial" w:cs="Arial"/>
                <w:b/>
                <w:sz w:val="20"/>
              </w:rPr>
            </w:pPr>
          </w:p>
        </w:tc>
        <w:tc>
          <w:tcPr>
            <w:tcW w:w="1071" w:type="pct"/>
            <w:shd w:val="clear" w:color="auto" w:fill="FFFFFF" w:themeFill="background1"/>
            <w:vAlign w:val="center"/>
          </w:tcPr>
          <w:p w14:paraId="6E569BB4" w14:textId="77777777" w:rsidR="00A314CB" w:rsidRPr="00FD298E" w:rsidRDefault="00A314CB" w:rsidP="00506FA7">
            <w:pPr>
              <w:jc w:val="both"/>
              <w:rPr>
                <w:rFonts w:ascii="Arial" w:hAnsi="Arial" w:cs="Arial"/>
                <w:b/>
                <w:sz w:val="20"/>
              </w:rPr>
            </w:pPr>
          </w:p>
        </w:tc>
        <w:tc>
          <w:tcPr>
            <w:tcW w:w="987" w:type="pct"/>
            <w:shd w:val="clear" w:color="auto" w:fill="FFFFFF" w:themeFill="background1"/>
            <w:vAlign w:val="center"/>
          </w:tcPr>
          <w:p w14:paraId="0BA03EB5" w14:textId="77777777" w:rsidR="00A314CB" w:rsidRPr="00FD298E" w:rsidRDefault="00A314CB" w:rsidP="00506FA7">
            <w:pPr>
              <w:jc w:val="both"/>
              <w:rPr>
                <w:rFonts w:ascii="Arial" w:hAnsi="Arial" w:cs="Arial"/>
                <w:b/>
                <w:sz w:val="20"/>
              </w:rPr>
            </w:pPr>
          </w:p>
        </w:tc>
        <w:tc>
          <w:tcPr>
            <w:tcW w:w="1070" w:type="pct"/>
            <w:shd w:val="clear" w:color="auto" w:fill="FFFFFF" w:themeFill="background1"/>
            <w:vAlign w:val="center"/>
          </w:tcPr>
          <w:p w14:paraId="1D92520A" w14:textId="77777777" w:rsidR="00A314CB" w:rsidRPr="00FD298E" w:rsidRDefault="00A314CB" w:rsidP="00506FA7">
            <w:pPr>
              <w:jc w:val="both"/>
              <w:rPr>
                <w:rFonts w:ascii="Arial" w:hAnsi="Arial" w:cs="Arial"/>
                <w:b/>
                <w:sz w:val="20"/>
              </w:rPr>
            </w:pPr>
          </w:p>
        </w:tc>
      </w:tr>
      <w:tr w:rsidR="00A314CB" w:rsidRPr="00FD298E" w14:paraId="5B1F9B5E" w14:textId="77777777" w:rsidTr="00506FA7">
        <w:trPr>
          <w:trHeight w:val="425"/>
        </w:trPr>
        <w:tc>
          <w:tcPr>
            <w:tcW w:w="969" w:type="pct"/>
            <w:shd w:val="clear" w:color="auto" w:fill="FFFFFF" w:themeFill="background1"/>
            <w:vAlign w:val="center"/>
          </w:tcPr>
          <w:p w14:paraId="793A75B1" w14:textId="77777777" w:rsidR="00A314CB" w:rsidRPr="00FD298E" w:rsidRDefault="00A314CB" w:rsidP="00506FA7">
            <w:pPr>
              <w:jc w:val="both"/>
              <w:rPr>
                <w:rFonts w:ascii="Arial" w:hAnsi="Arial" w:cs="Arial"/>
                <w:b/>
                <w:sz w:val="20"/>
              </w:rPr>
            </w:pPr>
          </w:p>
        </w:tc>
        <w:tc>
          <w:tcPr>
            <w:tcW w:w="904" w:type="pct"/>
            <w:shd w:val="clear" w:color="auto" w:fill="FFFFFF" w:themeFill="background1"/>
            <w:vAlign w:val="center"/>
          </w:tcPr>
          <w:p w14:paraId="52C1FE49" w14:textId="77777777" w:rsidR="00A314CB" w:rsidRPr="00FD298E" w:rsidRDefault="00A314CB" w:rsidP="00506FA7">
            <w:pPr>
              <w:jc w:val="both"/>
              <w:rPr>
                <w:rFonts w:ascii="Arial" w:hAnsi="Arial" w:cs="Arial"/>
                <w:b/>
                <w:sz w:val="20"/>
              </w:rPr>
            </w:pPr>
          </w:p>
        </w:tc>
        <w:tc>
          <w:tcPr>
            <w:tcW w:w="1071" w:type="pct"/>
            <w:shd w:val="clear" w:color="auto" w:fill="FFFFFF" w:themeFill="background1"/>
            <w:vAlign w:val="center"/>
          </w:tcPr>
          <w:p w14:paraId="77452170" w14:textId="77777777" w:rsidR="00A314CB" w:rsidRPr="00FD298E" w:rsidRDefault="00A314CB" w:rsidP="00506FA7">
            <w:pPr>
              <w:jc w:val="both"/>
              <w:rPr>
                <w:rFonts w:ascii="Arial" w:hAnsi="Arial" w:cs="Arial"/>
                <w:b/>
                <w:sz w:val="20"/>
              </w:rPr>
            </w:pPr>
          </w:p>
        </w:tc>
        <w:tc>
          <w:tcPr>
            <w:tcW w:w="987" w:type="pct"/>
            <w:shd w:val="clear" w:color="auto" w:fill="FFFFFF" w:themeFill="background1"/>
            <w:vAlign w:val="center"/>
          </w:tcPr>
          <w:p w14:paraId="3220CD9C" w14:textId="77777777" w:rsidR="00A314CB" w:rsidRPr="00FD298E" w:rsidRDefault="00A314CB" w:rsidP="00506FA7">
            <w:pPr>
              <w:jc w:val="both"/>
              <w:rPr>
                <w:rFonts w:ascii="Arial" w:hAnsi="Arial" w:cs="Arial"/>
                <w:b/>
                <w:sz w:val="20"/>
              </w:rPr>
            </w:pPr>
          </w:p>
        </w:tc>
        <w:tc>
          <w:tcPr>
            <w:tcW w:w="1070" w:type="pct"/>
            <w:shd w:val="clear" w:color="auto" w:fill="FFFFFF" w:themeFill="background1"/>
            <w:vAlign w:val="center"/>
          </w:tcPr>
          <w:p w14:paraId="2F7CA055" w14:textId="77777777" w:rsidR="00A314CB" w:rsidRPr="00FD298E" w:rsidRDefault="00A314CB" w:rsidP="00506FA7">
            <w:pPr>
              <w:jc w:val="both"/>
              <w:rPr>
                <w:rFonts w:ascii="Arial" w:hAnsi="Arial" w:cs="Arial"/>
                <w:b/>
                <w:sz w:val="20"/>
              </w:rPr>
            </w:pPr>
          </w:p>
        </w:tc>
      </w:tr>
    </w:tbl>
    <w:p w14:paraId="669851B8" w14:textId="77777777" w:rsidR="00A314CB" w:rsidRDefault="00A314CB" w:rsidP="00A314CB">
      <w:pPr>
        <w:pStyle w:val="ListParagraph"/>
        <w:jc w:val="both"/>
        <w:rPr>
          <w:rFonts w:ascii="Arial" w:hAnsi="Arial" w:cs="Arial"/>
        </w:rPr>
      </w:pPr>
    </w:p>
    <w:p w14:paraId="7C83E13F" w14:textId="77777777" w:rsidR="00A314CB" w:rsidRDefault="00A314CB" w:rsidP="00A314CB">
      <w:pPr>
        <w:pStyle w:val="ListParagraph"/>
        <w:jc w:val="both"/>
        <w:rPr>
          <w:rFonts w:ascii="Arial" w:hAnsi="Arial" w:cs="Arial"/>
        </w:rPr>
      </w:pPr>
    </w:p>
    <w:p w14:paraId="53997AFC" w14:textId="0D68CC7E" w:rsidR="00454EC2" w:rsidRDefault="00A314CB" w:rsidP="006B79D2">
      <w:pPr>
        <w:pStyle w:val="ListParagraph"/>
        <w:numPr>
          <w:ilvl w:val="0"/>
          <w:numId w:val="6"/>
        </w:numPr>
        <w:spacing w:after="200" w:line="276" w:lineRule="auto"/>
        <w:jc w:val="both"/>
        <w:rPr>
          <w:rFonts w:ascii="Arial" w:hAnsi="Arial" w:cs="Arial"/>
        </w:rPr>
      </w:pPr>
      <w:r w:rsidRPr="00FD298E">
        <w:rPr>
          <w:rFonts w:ascii="Arial" w:hAnsi="Arial" w:cs="Arial"/>
        </w:rPr>
        <w:t xml:space="preserve">Describe </w:t>
      </w:r>
      <w:r>
        <w:rPr>
          <w:rFonts w:ascii="Arial" w:hAnsi="Arial" w:cs="Arial"/>
        </w:rPr>
        <w:t xml:space="preserve">in detail </w:t>
      </w:r>
      <w:r w:rsidR="00454EC2">
        <w:rPr>
          <w:rFonts w:ascii="Arial" w:hAnsi="Arial" w:cs="Arial"/>
        </w:rPr>
        <w:t>for these five projects:</w:t>
      </w:r>
    </w:p>
    <w:p w14:paraId="0879C7BB" w14:textId="77777777" w:rsidR="00454EC2" w:rsidRDefault="00454EC2" w:rsidP="00454EC2">
      <w:pPr>
        <w:pStyle w:val="ListParagraph"/>
        <w:spacing w:after="200" w:line="276" w:lineRule="auto"/>
        <w:jc w:val="both"/>
        <w:rPr>
          <w:rFonts w:ascii="Arial" w:hAnsi="Arial" w:cs="Arial"/>
        </w:rPr>
      </w:pPr>
    </w:p>
    <w:p w14:paraId="0F8848C4" w14:textId="273C68AD" w:rsidR="00454EC2" w:rsidRDefault="00454EC2" w:rsidP="004B7D2F">
      <w:pPr>
        <w:pStyle w:val="ListParagraph"/>
        <w:numPr>
          <w:ilvl w:val="1"/>
          <w:numId w:val="6"/>
        </w:numPr>
        <w:spacing w:after="200" w:line="276" w:lineRule="auto"/>
        <w:ind w:left="1434" w:hanging="357"/>
        <w:contextualSpacing w:val="0"/>
        <w:jc w:val="both"/>
        <w:rPr>
          <w:rFonts w:ascii="Arial" w:hAnsi="Arial" w:cs="Arial"/>
        </w:rPr>
      </w:pPr>
      <w:r>
        <w:rPr>
          <w:rFonts w:ascii="Arial" w:hAnsi="Arial" w:cs="Arial"/>
        </w:rPr>
        <w:t>The project itself (subject, objectives, expected results);</w:t>
      </w:r>
    </w:p>
    <w:p w14:paraId="6A65332F" w14:textId="0563D7E0" w:rsidR="00A314CB" w:rsidRDefault="00454EC2" w:rsidP="0000178A">
      <w:pPr>
        <w:pStyle w:val="ListParagraph"/>
        <w:numPr>
          <w:ilvl w:val="1"/>
          <w:numId w:val="6"/>
        </w:numPr>
        <w:spacing w:before="120" w:after="200" w:line="276" w:lineRule="auto"/>
        <w:ind w:left="1434" w:hanging="357"/>
        <w:contextualSpacing w:val="0"/>
        <w:jc w:val="both"/>
        <w:rPr>
          <w:rFonts w:ascii="Arial" w:hAnsi="Arial" w:cs="Arial"/>
        </w:rPr>
      </w:pPr>
      <w:r>
        <w:rPr>
          <w:rFonts w:ascii="Arial" w:hAnsi="Arial" w:cs="Arial"/>
        </w:rPr>
        <w:t xml:space="preserve"> </w:t>
      </w:r>
      <w:r w:rsidR="00A314CB" w:rsidRPr="00FD298E">
        <w:rPr>
          <w:rFonts w:ascii="Arial" w:hAnsi="Arial" w:cs="Arial"/>
        </w:rPr>
        <w:t xml:space="preserve">the types of </w:t>
      </w:r>
      <w:r w:rsidR="00A314CB">
        <w:rPr>
          <w:rFonts w:ascii="Arial" w:hAnsi="Arial" w:cs="Arial"/>
        </w:rPr>
        <w:t xml:space="preserve">management tasks your entity is in charge when managing these </w:t>
      </w:r>
      <w:r w:rsidR="00A04952">
        <w:rPr>
          <w:rFonts w:ascii="Arial" w:hAnsi="Arial" w:cs="Arial"/>
        </w:rPr>
        <w:t>action</w:t>
      </w:r>
      <w:r w:rsidR="00A314CB">
        <w:rPr>
          <w:rFonts w:ascii="Arial" w:hAnsi="Arial" w:cs="Arial"/>
        </w:rPr>
        <w:t>s</w:t>
      </w:r>
      <w:r w:rsidR="00A314CB" w:rsidRPr="00FD298E">
        <w:rPr>
          <w:rFonts w:ascii="Arial" w:hAnsi="Arial" w:cs="Arial"/>
        </w:rPr>
        <w:t>, with a particular focus on</w:t>
      </w:r>
      <w:r w:rsidR="00A314CB">
        <w:rPr>
          <w:rFonts w:ascii="Arial" w:hAnsi="Arial" w:cs="Arial"/>
        </w:rPr>
        <w:t xml:space="preserve"> the budget/financial tasks involved and the quality checks of the </w:t>
      </w:r>
      <w:r w:rsidR="00A04952">
        <w:rPr>
          <w:rFonts w:ascii="Arial" w:hAnsi="Arial" w:cs="Arial"/>
        </w:rPr>
        <w:t>action</w:t>
      </w:r>
      <w:r w:rsidR="00A314CB">
        <w:rPr>
          <w:rFonts w:ascii="Arial" w:hAnsi="Arial" w:cs="Arial"/>
        </w:rPr>
        <w:t xml:space="preserve"> results together with the assessment of the compliance with all rules applicable to the defence sector</w:t>
      </w:r>
      <w:r w:rsidR="00A314CB" w:rsidRPr="00FD298E">
        <w:rPr>
          <w:rFonts w:ascii="Arial" w:hAnsi="Arial" w:cs="Arial"/>
        </w:rPr>
        <w:t>.</w:t>
      </w:r>
    </w:p>
    <w:p w14:paraId="4769714F" w14:textId="77777777" w:rsidR="00513AD7" w:rsidRDefault="00513AD7" w:rsidP="00513AD7">
      <w:pPr>
        <w:pStyle w:val="ListParagraph"/>
        <w:spacing w:after="200" w:line="276" w:lineRule="auto"/>
        <w:jc w:val="both"/>
        <w:rPr>
          <w:rFonts w:ascii="Arial" w:hAnsi="Arial" w:cs="Arial"/>
        </w:rPr>
      </w:pPr>
    </w:p>
    <w:p w14:paraId="332CB85F" w14:textId="77777777" w:rsidR="00A314CB" w:rsidRPr="00FD298E" w:rsidRDefault="00A314CB" w:rsidP="00A314CB">
      <w:pPr>
        <w:pStyle w:val="ListParagraph"/>
        <w:jc w:val="both"/>
        <w:rPr>
          <w:rFonts w:ascii="Arial" w:hAnsi="Arial" w:cs="Arial"/>
        </w:rPr>
      </w:pPr>
      <w:r w:rsidRPr="00FD298E">
        <w:rPr>
          <w:rFonts w:ascii="Arial" w:hAnsi="Arial" w:cs="Arial"/>
        </w:rPr>
        <w:t xml:space="preserve">Please also </w:t>
      </w:r>
      <w:r>
        <w:rPr>
          <w:rFonts w:ascii="Arial" w:hAnsi="Arial" w:cs="Arial"/>
        </w:rPr>
        <w:t xml:space="preserve">give details on the origin and the form of the financial contributions (loan, grants, procurement) your entity is managing for the implementation of these </w:t>
      </w:r>
      <w:r w:rsidR="00A04952">
        <w:rPr>
          <w:rFonts w:ascii="Arial" w:hAnsi="Arial" w:cs="Arial"/>
        </w:rPr>
        <w:t>action</w:t>
      </w:r>
      <w:r>
        <w:rPr>
          <w:rFonts w:ascii="Arial" w:hAnsi="Arial" w:cs="Arial"/>
        </w:rPr>
        <w:t>s.</w:t>
      </w:r>
    </w:p>
    <w:p w14:paraId="55A9D1BA" w14:textId="77777777" w:rsidR="00A314CB" w:rsidRPr="00FD298E" w:rsidRDefault="00A314CB" w:rsidP="00A314C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FB5C4" w14:textId="77777777" w:rsidR="00A314CB" w:rsidRPr="00FD298E" w:rsidRDefault="00A314CB" w:rsidP="006B79D2">
      <w:pPr>
        <w:pStyle w:val="ListParagraph"/>
        <w:numPr>
          <w:ilvl w:val="0"/>
          <w:numId w:val="6"/>
        </w:numPr>
        <w:spacing w:after="200" w:line="276" w:lineRule="auto"/>
        <w:jc w:val="both"/>
        <w:rPr>
          <w:rFonts w:ascii="Arial" w:hAnsi="Arial" w:cs="Arial"/>
        </w:rPr>
      </w:pPr>
      <w:r w:rsidRPr="00FD298E">
        <w:rPr>
          <w:rFonts w:ascii="Arial" w:hAnsi="Arial" w:cs="Arial"/>
        </w:rPr>
        <w:t>Has your entity ever cooperated with EU Institutions, bodies, offices or agencies? If yes, please describe with which EU Institution, body, office or agency</w:t>
      </w:r>
      <w:r w:rsidR="001A0826">
        <w:rPr>
          <w:rFonts w:ascii="Arial" w:hAnsi="Arial" w:cs="Arial"/>
        </w:rPr>
        <w:t>, the scope of this cooperation</w:t>
      </w:r>
      <w:r w:rsidRPr="00FD298E">
        <w:rPr>
          <w:rFonts w:ascii="Arial" w:hAnsi="Arial" w:cs="Arial"/>
        </w:rPr>
        <w:t xml:space="preserve"> and under which programme.</w:t>
      </w:r>
    </w:p>
    <w:p w14:paraId="174D214F" w14:textId="77777777" w:rsidR="00A314CB" w:rsidRPr="00FD298E" w:rsidRDefault="00A314CB" w:rsidP="00A314C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385FB" w14:textId="77777777" w:rsidR="00A314CB" w:rsidRPr="00FD298E" w:rsidRDefault="00A314CB" w:rsidP="006B79D2">
      <w:pPr>
        <w:pStyle w:val="ListParagraph"/>
        <w:numPr>
          <w:ilvl w:val="0"/>
          <w:numId w:val="6"/>
        </w:numPr>
        <w:spacing w:after="200" w:line="276" w:lineRule="auto"/>
        <w:jc w:val="both"/>
        <w:rPr>
          <w:rFonts w:ascii="Arial" w:hAnsi="Arial" w:cs="Arial"/>
        </w:rPr>
      </w:pPr>
      <w:r>
        <w:rPr>
          <w:rFonts w:ascii="Arial" w:hAnsi="Arial" w:cs="Arial"/>
        </w:rPr>
        <w:t xml:space="preserve">Has your entity participated or has any intention to participate in EDIDP or EDF as an </w:t>
      </w:r>
      <w:r w:rsidR="001A0826">
        <w:rPr>
          <w:rFonts w:ascii="Arial" w:hAnsi="Arial" w:cs="Arial"/>
        </w:rPr>
        <w:t>entrusted entity, beneficiary</w:t>
      </w:r>
      <w:r>
        <w:rPr>
          <w:rFonts w:ascii="Arial" w:hAnsi="Arial" w:cs="Arial"/>
        </w:rPr>
        <w:t xml:space="preserve"> (consortium member), subcontractor, service provider or in kind contributor</w:t>
      </w:r>
      <w:r w:rsidRPr="00FD298E">
        <w:rPr>
          <w:rFonts w:ascii="Arial" w:hAnsi="Arial" w:cs="Arial"/>
        </w:rPr>
        <w:t>.</w:t>
      </w:r>
      <w:r>
        <w:rPr>
          <w:rFonts w:ascii="Arial" w:hAnsi="Arial" w:cs="Arial"/>
        </w:rPr>
        <w:t xml:space="preserve"> If yes, please detail the global amount reimbursed so far by the EU budget and the form of the participation.</w:t>
      </w:r>
    </w:p>
    <w:p w14:paraId="73379D16" w14:textId="77777777" w:rsidR="00A314CB" w:rsidRPr="00FD298E" w:rsidRDefault="00A314CB" w:rsidP="00A314CB">
      <w:pPr>
        <w:spacing w:line="360" w:lineRule="auto"/>
        <w:jc w:val="both"/>
        <w:rPr>
          <w:rFonts w:ascii="Arial" w:hAnsi="Arial" w:cs="Arial"/>
        </w:rPr>
      </w:pPr>
      <w:r w:rsidRPr="00FD298E">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249F5" w14:textId="77777777" w:rsidR="00A314CB" w:rsidRDefault="00A314CB" w:rsidP="00A314CB">
      <w:pPr>
        <w:jc w:val="both"/>
        <w:rPr>
          <w:rFonts w:ascii="Arial" w:hAnsi="Arial" w:cs="Arial"/>
          <w:sz w:val="24"/>
        </w:rPr>
      </w:pPr>
    </w:p>
    <w:p w14:paraId="022C0450" w14:textId="77777777" w:rsidR="00B815F6" w:rsidRPr="000309CF" w:rsidRDefault="00B815F6" w:rsidP="00A314CB">
      <w:pPr>
        <w:jc w:val="both"/>
        <w:rPr>
          <w:rFonts w:ascii="Arial" w:hAnsi="Arial" w:cs="Arial"/>
        </w:rPr>
      </w:pPr>
      <w:r w:rsidRPr="000309CF">
        <w:rPr>
          <w:rFonts w:ascii="Arial" w:hAnsi="Arial" w:cs="Arial"/>
        </w:rPr>
        <w:t>By filling th</w:t>
      </w:r>
      <w:r w:rsidR="000309CF">
        <w:rPr>
          <w:rFonts w:ascii="Arial" w:hAnsi="Arial" w:cs="Arial"/>
        </w:rPr>
        <w:t>is</w:t>
      </w:r>
      <w:r w:rsidRPr="000309CF">
        <w:rPr>
          <w:rFonts w:ascii="Arial" w:hAnsi="Arial" w:cs="Arial"/>
        </w:rPr>
        <w:t xml:space="preserve"> form, I express the interest of my organisation to be </w:t>
      </w:r>
      <w:r w:rsidR="000309CF" w:rsidRPr="000309CF">
        <w:rPr>
          <w:rFonts w:ascii="Arial" w:hAnsi="Arial" w:cs="Arial"/>
        </w:rPr>
        <w:t xml:space="preserve">entrusted with implementation tasks in indirect management under </w:t>
      </w:r>
      <w:r w:rsidR="000309CF">
        <w:rPr>
          <w:rFonts w:ascii="Arial" w:hAnsi="Arial" w:cs="Arial"/>
        </w:rPr>
        <w:t>the European Development Fund</w:t>
      </w:r>
      <w:r w:rsidR="00513AD7">
        <w:rPr>
          <w:rFonts w:ascii="Arial" w:hAnsi="Arial" w:cs="Arial"/>
        </w:rPr>
        <w:t xml:space="preserve"> subject to a satisfactory pillar assessment and a further decision of the Commission.</w:t>
      </w:r>
    </w:p>
    <w:p w14:paraId="6DAE2F66" w14:textId="77777777" w:rsidR="00B815F6" w:rsidRPr="000309CF" w:rsidRDefault="00B815F6" w:rsidP="00A314CB">
      <w:pPr>
        <w:jc w:val="both"/>
        <w:rPr>
          <w:rFonts w:ascii="Arial" w:hAnsi="Arial" w:cs="Arial"/>
        </w:rPr>
      </w:pPr>
    </w:p>
    <w:p w14:paraId="4E5D610E" w14:textId="77777777" w:rsidR="00B815F6" w:rsidRDefault="00B815F6" w:rsidP="00A314CB">
      <w:pPr>
        <w:jc w:val="both"/>
        <w:rPr>
          <w:rFonts w:ascii="Arial" w:hAnsi="Arial" w:cs="Arial"/>
          <w:sz w:val="24"/>
        </w:rPr>
      </w:pPr>
    </w:p>
    <w:p w14:paraId="6F61305F" w14:textId="77777777" w:rsidR="00B815F6" w:rsidRPr="00513AD7" w:rsidRDefault="00B815F6" w:rsidP="00A314CB">
      <w:pPr>
        <w:jc w:val="both"/>
        <w:rPr>
          <w:rFonts w:ascii="Arial" w:hAnsi="Arial" w:cs="Arial"/>
        </w:rPr>
      </w:pPr>
      <w:r w:rsidRPr="00513AD7">
        <w:rPr>
          <w:rFonts w:ascii="Arial" w:hAnsi="Arial" w:cs="Arial"/>
        </w:rPr>
        <w:t>Name and title</w:t>
      </w:r>
    </w:p>
    <w:p w14:paraId="7E89A7FD" w14:textId="77777777" w:rsidR="00A314CB" w:rsidRPr="00513AD7" w:rsidRDefault="00A314CB" w:rsidP="00A314CB">
      <w:pPr>
        <w:jc w:val="both"/>
        <w:rPr>
          <w:rFonts w:ascii="Arial" w:hAnsi="Arial" w:cs="Arial"/>
        </w:rPr>
      </w:pPr>
    </w:p>
    <w:p w14:paraId="01FEA24E" w14:textId="77777777" w:rsidR="00A314CB" w:rsidRPr="00513AD7" w:rsidRDefault="00B815F6" w:rsidP="00A314CB">
      <w:pPr>
        <w:autoSpaceDE w:val="0"/>
        <w:autoSpaceDN w:val="0"/>
        <w:adjustRightInd w:val="0"/>
        <w:spacing w:before="240" w:after="0" w:line="240" w:lineRule="auto"/>
        <w:jc w:val="both"/>
        <w:rPr>
          <w:rFonts w:ascii="Arial" w:hAnsi="Arial" w:cs="Arial"/>
          <w:color w:val="000000"/>
          <w:szCs w:val="24"/>
        </w:rPr>
      </w:pPr>
      <w:r w:rsidRPr="00513AD7">
        <w:rPr>
          <w:rFonts w:ascii="Arial" w:hAnsi="Arial" w:cs="Arial"/>
          <w:color w:val="000000"/>
          <w:szCs w:val="24"/>
        </w:rPr>
        <w:t>Date of signature</w:t>
      </w:r>
    </w:p>
    <w:p w14:paraId="20A53486" w14:textId="77777777" w:rsidR="007E6698" w:rsidRPr="007E6698" w:rsidRDefault="007E6698" w:rsidP="00B87E35">
      <w:pPr>
        <w:ind w:left="6480"/>
        <w:jc w:val="both"/>
        <w:rPr>
          <w:rFonts w:ascii="Times New Roman" w:hAnsi="Times New Roman" w:cs="Times New Roman"/>
          <w:b/>
          <w:sz w:val="28"/>
          <w:szCs w:val="28"/>
        </w:rPr>
      </w:pPr>
    </w:p>
    <w:sectPr w:rsidR="007E6698" w:rsidRPr="007E6698" w:rsidSect="00C871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DD2F" w14:textId="77777777" w:rsidR="0000178A" w:rsidRDefault="0000178A" w:rsidP="005E5178">
      <w:pPr>
        <w:spacing w:after="0" w:line="240" w:lineRule="auto"/>
      </w:pPr>
      <w:r>
        <w:separator/>
      </w:r>
    </w:p>
  </w:endnote>
  <w:endnote w:type="continuationSeparator" w:id="0">
    <w:p w14:paraId="2E1E8006" w14:textId="77777777" w:rsidR="0000178A" w:rsidRDefault="0000178A" w:rsidP="005E5178">
      <w:pPr>
        <w:spacing w:after="0" w:line="240" w:lineRule="auto"/>
      </w:pPr>
      <w:r>
        <w:continuationSeparator/>
      </w:r>
    </w:p>
  </w:endnote>
  <w:endnote w:type="continuationNotice" w:id="1">
    <w:p w14:paraId="2F3EE832" w14:textId="77777777" w:rsidR="0000178A" w:rsidRDefault="00001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F4BD" w14:textId="77777777" w:rsidR="00405ED5" w:rsidRDefault="0040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692033"/>
      <w:docPartObj>
        <w:docPartGallery w:val="Page Numbers (Bottom of Page)"/>
        <w:docPartUnique/>
      </w:docPartObj>
    </w:sdtPr>
    <w:sdtEndPr>
      <w:rPr>
        <w:rFonts w:ascii="Times New Roman" w:hAnsi="Times New Roman" w:cs="Times New Roman"/>
        <w:noProof/>
      </w:rPr>
    </w:sdtEndPr>
    <w:sdtContent>
      <w:p w14:paraId="64F683D0" w14:textId="67908C17" w:rsidR="00405ED5" w:rsidRPr="009F3C06" w:rsidRDefault="00405ED5">
        <w:pPr>
          <w:pStyle w:val="Footer"/>
          <w:jc w:val="right"/>
          <w:rPr>
            <w:rFonts w:ascii="Times New Roman" w:hAnsi="Times New Roman" w:cs="Times New Roman"/>
          </w:rPr>
        </w:pPr>
        <w:r w:rsidRPr="009F3C06">
          <w:rPr>
            <w:rFonts w:ascii="Times New Roman" w:hAnsi="Times New Roman" w:cs="Times New Roman"/>
          </w:rPr>
          <w:fldChar w:fldCharType="begin"/>
        </w:r>
        <w:r w:rsidRPr="009F3C06">
          <w:rPr>
            <w:rFonts w:ascii="Times New Roman" w:hAnsi="Times New Roman" w:cs="Times New Roman"/>
          </w:rPr>
          <w:instrText xml:space="preserve"> PAGE   \* MERGEFORMAT </w:instrText>
        </w:r>
        <w:r w:rsidRPr="009F3C06">
          <w:rPr>
            <w:rFonts w:ascii="Times New Roman" w:hAnsi="Times New Roman" w:cs="Times New Roman"/>
          </w:rPr>
          <w:fldChar w:fldCharType="separate"/>
        </w:r>
        <w:r w:rsidR="00BF4598">
          <w:rPr>
            <w:rFonts w:ascii="Times New Roman" w:hAnsi="Times New Roman" w:cs="Times New Roman"/>
            <w:noProof/>
          </w:rPr>
          <w:t>9</w:t>
        </w:r>
        <w:r w:rsidRPr="009F3C06">
          <w:rPr>
            <w:rFonts w:ascii="Times New Roman" w:hAnsi="Times New Roman" w:cs="Times New Roman"/>
            <w:noProof/>
          </w:rPr>
          <w:fldChar w:fldCharType="end"/>
        </w:r>
      </w:p>
    </w:sdtContent>
  </w:sdt>
  <w:p w14:paraId="602BA1DF" w14:textId="77777777" w:rsidR="00405ED5" w:rsidRDefault="0040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9D9B9" w14:textId="77777777" w:rsidR="00405ED5" w:rsidRDefault="0040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66E9B" w14:textId="77777777" w:rsidR="0000178A" w:rsidRDefault="0000178A" w:rsidP="005E5178">
      <w:pPr>
        <w:spacing w:after="0" w:line="240" w:lineRule="auto"/>
      </w:pPr>
      <w:r>
        <w:separator/>
      </w:r>
    </w:p>
  </w:footnote>
  <w:footnote w:type="continuationSeparator" w:id="0">
    <w:p w14:paraId="7993F193" w14:textId="77777777" w:rsidR="0000178A" w:rsidRDefault="0000178A" w:rsidP="005E5178">
      <w:pPr>
        <w:spacing w:after="0" w:line="240" w:lineRule="auto"/>
      </w:pPr>
      <w:r>
        <w:continuationSeparator/>
      </w:r>
    </w:p>
  </w:footnote>
  <w:footnote w:type="continuationNotice" w:id="1">
    <w:p w14:paraId="24CF2926" w14:textId="77777777" w:rsidR="0000178A" w:rsidRDefault="0000178A">
      <w:pPr>
        <w:spacing w:after="0" w:line="240" w:lineRule="auto"/>
      </w:pPr>
    </w:p>
  </w:footnote>
  <w:footnote w:id="2">
    <w:p w14:paraId="4CC2FA1D" w14:textId="77777777" w:rsidR="00405ED5" w:rsidRPr="00191286" w:rsidRDefault="00405ED5" w:rsidP="00645F45">
      <w:pPr>
        <w:pStyle w:val="FootnoteText"/>
        <w:rPr>
          <w:lang w:val="en-IE"/>
        </w:rPr>
      </w:pPr>
      <w:r>
        <w:rPr>
          <w:rStyle w:val="FootnoteReference"/>
        </w:rPr>
        <w:footnoteRef/>
      </w:r>
      <w:r>
        <w:t xml:space="preserve"> </w:t>
      </w:r>
      <w:r>
        <w:rPr>
          <w:lang w:val="en-IE"/>
        </w:rPr>
        <w:t>OJ L 170, 12.5.2021, p. 149</w:t>
      </w:r>
    </w:p>
  </w:footnote>
  <w:footnote w:id="3">
    <w:p w14:paraId="6F01FA7B" w14:textId="77777777" w:rsidR="00580D44" w:rsidRPr="00580D44" w:rsidRDefault="00580D44" w:rsidP="00EA632C">
      <w:pPr>
        <w:pStyle w:val="FootnoteText"/>
        <w:jc w:val="both"/>
      </w:pPr>
      <w:r>
        <w:rPr>
          <w:rStyle w:val="FootnoteReference"/>
        </w:rPr>
        <w:footnoteRef/>
      </w:r>
      <w:r>
        <w:t xml:space="preserve"> - By contrast with other EU programmes EDF is managed with the need-to-know principle as a rule and </w:t>
      </w:r>
      <w:r w:rsidR="00513AD7">
        <w:t xml:space="preserve">it </w:t>
      </w:r>
      <w:r>
        <w:t>funds projects where classified information is exchanged.</w:t>
      </w:r>
    </w:p>
  </w:footnote>
  <w:footnote w:id="4">
    <w:p w14:paraId="39F3399E" w14:textId="77777777" w:rsidR="00E10B4F" w:rsidRPr="00FC4994" w:rsidRDefault="00E10B4F" w:rsidP="00EA632C">
      <w:pPr>
        <w:pStyle w:val="FootnoteText"/>
        <w:jc w:val="both"/>
      </w:pPr>
      <w:r>
        <w:rPr>
          <w:rStyle w:val="FootnoteReference"/>
        </w:rPr>
        <w:footnoteRef/>
      </w:r>
      <w:r>
        <w:t xml:space="preserve"> A</w:t>
      </w:r>
      <w:r w:rsidRPr="00AD3EC9">
        <w:t xml:space="preserve">s referred to in points (c)(v) of Article 62(1) of Regulation (EU, Euratom) No 2018/1046 of the European Parliament and of the Council (the </w:t>
      </w:r>
      <w:r>
        <w:t>‘</w:t>
      </w:r>
      <w:r w:rsidRPr="00AD3EC9">
        <w:t>Financial Regulation</w:t>
      </w:r>
      <w:r>
        <w:t xml:space="preserve">’. </w:t>
      </w:r>
      <w:r w:rsidRPr="00FC4994">
        <w:t>OJ L 193, 30.7.2018</w:t>
      </w:r>
      <w:r>
        <w:t>, p. 1.</w:t>
      </w:r>
    </w:p>
  </w:footnote>
  <w:footnote w:id="5">
    <w:p w14:paraId="42F642D5" w14:textId="77777777" w:rsidR="00107BE9" w:rsidRPr="00A04952" w:rsidRDefault="00107BE9" w:rsidP="00EA632C">
      <w:pPr>
        <w:pStyle w:val="FootnoteText"/>
        <w:jc w:val="both"/>
      </w:pPr>
      <w:r>
        <w:rPr>
          <w:rStyle w:val="FootnoteReference"/>
        </w:rPr>
        <w:footnoteRef/>
      </w:r>
      <w:r>
        <w:t xml:space="preserve"> </w:t>
      </w:r>
      <w:hyperlink r:id="rId1" w:history="1">
        <w:r w:rsidRPr="00F36B49">
          <w:rPr>
            <w:rStyle w:val="Hyperlink"/>
          </w:rPr>
          <w:t>https://eur-lex.europa.eu/legal-content/EN/TXT/?uri=uriserv:OJ.C_.2019.191.01.0002.01.ENG</w:t>
        </w:r>
      </w:hyperlink>
      <w:r>
        <w:t xml:space="preserve"> </w:t>
      </w:r>
    </w:p>
  </w:footnote>
  <w:footnote w:id="6">
    <w:p w14:paraId="7C6EB673" w14:textId="77777777" w:rsidR="00405ED5" w:rsidRDefault="00405ED5" w:rsidP="00EA632C">
      <w:pPr>
        <w:pStyle w:val="FootnoteText"/>
        <w:ind w:left="142" w:hanging="142"/>
        <w:jc w:val="both"/>
      </w:pPr>
      <w:r>
        <w:rPr>
          <w:rStyle w:val="FootnoteReference"/>
        </w:rPr>
        <w:footnoteRef/>
      </w:r>
      <w:r>
        <w:t xml:space="preserve"> The completion of a Pillar Assessment may take </w:t>
      </w:r>
      <w:r w:rsidR="00513AD7">
        <w:t>around eight</w:t>
      </w:r>
      <w:r w:rsidR="00821F73">
        <w:t xml:space="preserve"> </w:t>
      </w:r>
      <w:r>
        <w:t xml:space="preserve">months. </w:t>
      </w:r>
    </w:p>
  </w:footnote>
  <w:footnote w:id="7">
    <w:p w14:paraId="3E5A4826" w14:textId="77777777" w:rsidR="006A14FA" w:rsidRDefault="006A14FA" w:rsidP="00EA632C">
      <w:pPr>
        <w:pStyle w:val="FootnoteText"/>
        <w:ind w:left="142" w:hanging="142"/>
        <w:jc w:val="both"/>
      </w:pPr>
      <w:r>
        <w:rPr>
          <w:rStyle w:val="FootnoteReference"/>
        </w:rPr>
        <w:footnoteRef/>
      </w:r>
      <w:r>
        <w:t xml:space="preserve"> The assessment must be performed by an independent external auditor in accordance with the terms of references defined by the Commission.</w:t>
      </w:r>
    </w:p>
  </w:footnote>
  <w:footnote w:id="8">
    <w:p w14:paraId="288EA2B6" w14:textId="77777777" w:rsidR="00A04952" w:rsidRPr="00A04952" w:rsidRDefault="00A04952" w:rsidP="00EA632C">
      <w:pPr>
        <w:pStyle w:val="FootnoteText"/>
        <w:jc w:val="both"/>
      </w:pPr>
      <w:r>
        <w:rPr>
          <w:rStyle w:val="FootnoteReference"/>
        </w:rPr>
        <w:footnoteRef/>
      </w:r>
      <w:r>
        <w:t xml:space="preserve"> </w:t>
      </w:r>
      <w:hyperlink r:id="rId2" w:history="1">
        <w:r w:rsidRPr="00F36B49">
          <w:rPr>
            <w:rStyle w:val="Hyperlink"/>
          </w:rPr>
          <w:t>https://eur-lex.europa.eu/legal-content/EN/TXT/?uri=uriserv:OJ.C_.2019.191.01.0002.01.ENG</w:t>
        </w:r>
      </w:hyperlink>
      <w:r>
        <w:t xml:space="preserve"> </w:t>
      </w:r>
    </w:p>
  </w:footnote>
  <w:footnote w:id="9">
    <w:p w14:paraId="4953C88A" w14:textId="3070CA60" w:rsidR="0000178A" w:rsidRPr="00840049" w:rsidRDefault="0000178A" w:rsidP="0000178A">
      <w:pPr>
        <w:pStyle w:val="FootnoteText"/>
      </w:pPr>
      <w:r>
        <w:rPr>
          <w:rStyle w:val="FootnoteReference"/>
        </w:rPr>
        <w:footnoteRef/>
      </w:r>
      <w:r>
        <w:t xml:space="preserve"> - Not applicable for EDA and OCCAr which will receive an </w:t>
      </w:r>
      <w:r w:rsidRPr="00AE7F6D">
        <w:rPr>
          <w:rFonts w:cs="Times New Roman"/>
        </w:rPr>
        <w:t>acknowledgement of receipt</w:t>
      </w:r>
      <w:r>
        <w:t xml:space="preserve"> confirm</w:t>
      </w:r>
      <w:r w:rsidR="00914D90">
        <w:t>ing</w:t>
      </w:r>
      <w:r>
        <w:t xml:space="preserve"> their eligibility and inviting them to start/complete their pillar assessment.</w:t>
      </w:r>
    </w:p>
  </w:footnote>
  <w:footnote w:id="10">
    <w:p w14:paraId="2B769D2D" w14:textId="548C512D" w:rsidR="00337A7C" w:rsidRPr="00337A7C" w:rsidRDefault="00337A7C" w:rsidP="00337A7C">
      <w:pPr>
        <w:pStyle w:val="FootnoteText"/>
        <w:jc w:val="both"/>
      </w:pPr>
      <w:r>
        <w:rPr>
          <w:rStyle w:val="FootnoteReference"/>
        </w:rPr>
        <w:footnoteRef/>
      </w:r>
      <w:r>
        <w:t xml:space="preserve"> - Candidate entities can apply when they are ready and will not have to re-apply every year. With the use of cut-off dates, the Commission carries out eligibility checks at least once a year with the applications received before the cut-off date. Applications received after that date will be checked after the next cut-off date, at the latest.</w:t>
      </w:r>
    </w:p>
  </w:footnote>
  <w:footnote w:id="11">
    <w:p w14:paraId="0304EFD8" w14:textId="77777777" w:rsidR="00A314CB" w:rsidRPr="005C4E7B" w:rsidRDefault="00A314CB" w:rsidP="00A314CB">
      <w:pPr>
        <w:pStyle w:val="FootnoteText"/>
        <w:jc w:val="both"/>
        <w:rPr>
          <w:rFonts w:ascii="Arial" w:hAnsi="Arial" w:cs="Arial"/>
        </w:rPr>
      </w:pPr>
      <w:r w:rsidRPr="005C4E7B">
        <w:rPr>
          <w:rStyle w:val="FootnoteReference"/>
          <w:rFonts w:ascii="Arial" w:hAnsi="Arial" w:cs="Arial"/>
        </w:rPr>
        <w:footnoteRef/>
      </w:r>
      <w:r w:rsidRPr="005C4E7B">
        <w:rPr>
          <w:rFonts w:ascii="Arial" w:hAnsi="Arial" w:cs="Arial"/>
        </w:rPr>
        <w:t xml:space="preserve"> </w:t>
      </w:r>
      <w:r w:rsidRPr="005C4E7B">
        <w:rPr>
          <w:rFonts w:ascii="Arial" w:hAnsi="Arial" w:cs="Arial"/>
          <w:sz w:val="16"/>
        </w:rPr>
        <w:t>For the purposes of Article 62(1)(c) of the Financial Regulation (Regulation (EU, Euratom) 2018/1046 of the European Parliament and of the Council of 18 July 2018 on the financial rules applicable to the general budget of the Union (OJ L 193, 30.7.2018,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5DA5" w14:textId="77777777" w:rsidR="00405ED5" w:rsidRDefault="0040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0377" w14:textId="77777777" w:rsidR="00405ED5" w:rsidRDefault="0040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6C4" w14:textId="77777777" w:rsidR="00405ED5" w:rsidRDefault="0040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5F9"/>
    <w:multiLevelType w:val="multilevel"/>
    <w:tmpl w:val="59F461FA"/>
    <w:lvl w:ilvl="0">
      <w:start w:val="1"/>
      <w:numFmt w:val="decimal"/>
      <w:pStyle w:val="Heading1"/>
      <w:lvlText w:val="%1."/>
      <w:lvlJc w:val="left"/>
      <w:pPr>
        <w:ind w:left="432" w:hanging="432"/>
      </w:pPr>
      <w:rPr>
        <w:rFonts w:ascii="Times New Roman" w:hAnsi="Times New Roman" w:hint="default"/>
        <w:b/>
        <w:i w:val="0"/>
        <w:sz w:val="24"/>
        <w:szCs w:val="24"/>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ascii="Times New Roman" w:hAnsi="Times New Roman" w:hint="default"/>
        <w:b/>
        <w:i/>
        <w:color w:val="auto"/>
        <w:sz w:val="24"/>
      </w:rPr>
    </w:lvl>
    <w:lvl w:ilvl="3">
      <w:start w:val="1"/>
      <w:numFmt w:val="decimal"/>
      <w:pStyle w:val="Heading4"/>
      <w:lvlText w:val="%1.%2.%3.%4"/>
      <w:lvlJc w:val="left"/>
      <w:pPr>
        <w:ind w:left="864" w:hanging="864"/>
      </w:pPr>
      <w:rPr>
        <w:rFonts w:ascii="Times New Roman" w:hAnsi="Times New Roman" w:cs="Times New Roman" w:hint="default"/>
        <w:color w:val="000000" w:themeColor="text1"/>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0CC1BF9"/>
    <w:multiLevelType w:val="hybridMultilevel"/>
    <w:tmpl w:val="71F8AB8C"/>
    <w:lvl w:ilvl="0" w:tplc="1EE000C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5493"/>
    <w:multiLevelType w:val="hybridMultilevel"/>
    <w:tmpl w:val="DADCA2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9803A2"/>
    <w:multiLevelType w:val="multilevel"/>
    <w:tmpl w:val="53D45D98"/>
    <w:lvl w:ilvl="0">
      <w:start w:val="1"/>
      <w:numFmt w:val="lowerLetter"/>
      <w:lvlText w:val="(%1)"/>
      <w:lvlJc w:val="left"/>
      <w:pPr>
        <w:ind w:left="928" w:hanging="36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683FD0"/>
    <w:multiLevelType w:val="hybridMultilevel"/>
    <w:tmpl w:val="759E99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577D9"/>
    <w:multiLevelType w:val="hybridMultilevel"/>
    <w:tmpl w:val="ED86EACE"/>
    <w:lvl w:ilvl="0" w:tplc="36E0B6F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C3090"/>
    <w:multiLevelType w:val="hybridMultilevel"/>
    <w:tmpl w:val="6CC2E974"/>
    <w:lvl w:ilvl="0" w:tplc="080C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F412B7"/>
    <w:multiLevelType w:val="hybridMultilevel"/>
    <w:tmpl w:val="750A87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5"/>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5512D"/>
    <w:rsid w:val="0000156A"/>
    <w:rsid w:val="0000178A"/>
    <w:rsid w:val="00001D8F"/>
    <w:rsid w:val="00003E3D"/>
    <w:rsid w:val="00014F73"/>
    <w:rsid w:val="00015E00"/>
    <w:rsid w:val="0001638C"/>
    <w:rsid w:val="000174E6"/>
    <w:rsid w:val="00017DD9"/>
    <w:rsid w:val="00020EEE"/>
    <w:rsid w:val="00022102"/>
    <w:rsid w:val="00024AB4"/>
    <w:rsid w:val="0002508F"/>
    <w:rsid w:val="00027044"/>
    <w:rsid w:val="00027866"/>
    <w:rsid w:val="00030255"/>
    <w:rsid w:val="000309CF"/>
    <w:rsid w:val="00031716"/>
    <w:rsid w:val="00034A19"/>
    <w:rsid w:val="00034AD8"/>
    <w:rsid w:val="00034BE4"/>
    <w:rsid w:val="00035D68"/>
    <w:rsid w:val="0004246A"/>
    <w:rsid w:val="00042C17"/>
    <w:rsid w:val="00044272"/>
    <w:rsid w:val="00047F08"/>
    <w:rsid w:val="00053480"/>
    <w:rsid w:val="000608C2"/>
    <w:rsid w:val="000647CC"/>
    <w:rsid w:val="00066156"/>
    <w:rsid w:val="00071312"/>
    <w:rsid w:val="0007541D"/>
    <w:rsid w:val="00082CE6"/>
    <w:rsid w:val="000863D4"/>
    <w:rsid w:val="00086FD7"/>
    <w:rsid w:val="00093569"/>
    <w:rsid w:val="0009511C"/>
    <w:rsid w:val="00096A6A"/>
    <w:rsid w:val="00096C21"/>
    <w:rsid w:val="000A1037"/>
    <w:rsid w:val="000A1DAF"/>
    <w:rsid w:val="000B1548"/>
    <w:rsid w:val="000B1566"/>
    <w:rsid w:val="000B43E8"/>
    <w:rsid w:val="000B5871"/>
    <w:rsid w:val="000B6B62"/>
    <w:rsid w:val="000B768B"/>
    <w:rsid w:val="000C5A82"/>
    <w:rsid w:val="000D3723"/>
    <w:rsid w:val="000D4E1C"/>
    <w:rsid w:val="000D63C8"/>
    <w:rsid w:val="000D7022"/>
    <w:rsid w:val="000E1E74"/>
    <w:rsid w:val="000E71C3"/>
    <w:rsid w:val="000F662C"/>
    <w:rsid w:val="000F6A67"/>
    <w:rsid w:val="000F6E07"/>
    <w:rsid w:val="00101137"/>
    <w:rsid w:val="00101EB8"/>
    <w:rsid w:val="001025F3"/>
    <w:rsid w:val="00105A13"/>
    <w:rsid w:val="00107BE9"/>
    <w:rsid w:val="00110DBF"/>
    <w:rsid w:val="00111E7F"/>
    <w:rsid w:val="00113AC2"/>
    <w:rsid w:val="00117A10"/>
    <w:rsid w:val="00123881"/>
    <w:rsid w:val="00123AA1"/>
    <w:rsid w:val="001254C6"/>
    <w:rsid w:val="00127642"/>
    <w:rsid w:val="00127F2E"/>
    <w:rsid w:val="001320C8"/>
    <w:rsid w:val="0013305D"/>
    <w:rsid w:val="00134AE0"/>
    <w:rsid w:val="001369BD"/>
    <w:rsid w:val="00142F28"/>
    <w:rsid w:val="00150912"/>
    <w:rsid w:val="001527CE"/>
    <w:rsid w:val="001541B3"/>
    <w:rsid w:val="001633EF"/>
    <w:rsid w:val="00163D53"/>
    <w:rsid w:val="00170E16"/>
    <w:rsid w:val="001721F1"/>
    <w:rsid w:val="00174606"/>
    <w:rsid w:val="00175E46"/>
    <w:rsid w:val="00177428"/>
    <w:rsid w:val="00180165"/>
    <w:rsid w:val="00182ACC"/>
    <w:rsid w:val="00183282"/>
    <w:rsid w:val="00191286"/>
    <w:rsid w:val="00191C5B"/>
    <w:rsid w:val="001923FE"/>
    <w:rsid w:val="00192B36"/>
    <w:rsid w:val="001947DB"/>
    <w:rsid w:val="00195555"/>
    <w:rsid w:val="00197C79"/>
    <w:rsid w:val="001A074F"/>
    <w:rsid w:val="001A0826"/>
    <w:rsid w:val="001A13AB"/>
    <w:rsid w:val="001A40D1"/>
    <w:rsid w:val="001B0F45"/>
    <w:rsid w:val="001B163C"/>
    <w:rsid w:val="001B1FB4"/>
    <w:rsid w:val="001B2A81"/>
    <w:rsid w:val="001B4669"/>
    <w:rsid w:val="001C1FFD"/>
    <w:rsid w:val="001C36DA"/>
    <w:rsid w:val="001C3D0F"/>
    <w:rsid w:val="001C7FCA"/>
    <w:rsid w:val="001D1FAF"/>
    <w:rsid w:val="001D364E"/>
    <w:rsid w:val="001D4603"/>
    <w:rsid w:val="001D4D5F"/>
    <w:rsid w:val="001D7266"/>
    <w:rsid w:val="001E5572"/>
    <w:rsid w:val="001E58D0"/>
    <w:rsid w:val="001E59A9"/>
    <w:rsid w:val="001F118D"/>
    <w:rsid w:val="001F17C2"/>
    <w:rsid w:val="001F51FA"/>
    <w:rsid w:val="001F7A3A"/>
    <w:rsid w:val="002013C5"/>
    <w:rsid w:val="00202707"/>
    <w:rsid w:val="0020352C"/>
    <w:rsid w:val="00203F8E"/>
    <w:rsid w:val="00206742"/>
    <w:rsid w:val="00211C10"/>
    <w:rsid w:val="00214CA8"/>
    <w:rsid w:val="002166CC"/>
    <w:rsid w:val="00217AC4"/>
    <w:rsid w:val="00220881"/>
    <w:rsid w:val="002228D8"/>
    <w:rsid w:val="00231703"/>
    <w:rsid w:val="002360DC"/>
    <w:rsid w:val="0023640D"/>
    <w:rsid w:val="00236EF3"/>
    <w:rsid w:val="0024100E"/>
    <w:rsid w:val="002413CE"/>
    <w:rsid w:val="002424B4"/>
    <w:rsid w:val="0024485A"/>
    <w:rsid w:val="002543B9"/>
    <w:rsid w:val="00265B8C"/>
    <w:rsid w:val="00267F4F"/>
    <w:rsid w:val="00270AB8"/>
    <w:rsid w:val="00270D55"/>
    <w:rsid w:val="00271287"/>
    <w:rsid w:val="00273266"/>
    <w:rsid w:val="00273D80"/>
    <w:rsid w:val="00276093"/>
    <w:rsid w:val="00277ED2"/>
    <w:rsid w:val="00281812"/>
    <w:rsid w:val="00283B9C"/>
    <w:rsid w:val="002900B5"/>
    <w:rsid w:val="002909EE"/>
    <w:rsid w:val="00290C55"/>
    <w:rsid w:val="0029115A"/>
    <w:rsid w:val="002923C6"/>
    <w:rsid w:val="002A1531"/>
    <w:rsid w:val="002A168C"/>
    <w:rsid w:val="002A75D6"/>
    <w:rsid w:val="002B1CC2"/>
    <w:rsid w:val="002B3709"/>
    <w:rsid w:val="002B67EA"/>
    <w:rsid w:val="002C4A6E"/>
    <w:rsid w:val="002D0D19"/>
    <w:rsid w:val="002D12E8"/>
    <w:rsid w:val="002D30D4"/>
    <w:rsid w:val="002D43F7"/>
    <w:rsid w:val="002D7241"/>
    <w:rsid w:val="002E191A"/>
    <w:rsid w:val="002E1DDF"/>
    <w:rsid w:val="002E584C"/>
    <w:rsid w:val="002E78A7"/>
    <w:rsid w:val="002F313C"/>
    <w:rsid w:val="002F4785"/>
    <w:rsid w:val="00303BAF"/>
    <w:rsid w:val="0030655B"/>
    <w:rsid w:val="00307908"/>
    <w:rsid w:val="00307DC7"/>
    <w:rsid w:val="00315142"/>
    <w:rsid w:val="0031726E"/>
    <w:rsid w:val="00317897"/>
    <w:rsid w:val="00317F25"/>
    <w:rsid w:val="00324DC5"/>
    <w:rsid w:val="00327B9D"/>
    <w:rsid w:val="00337156"/>
    <w:rsid w:val="00337A7C"/>
    <w:rsid w:val="003433A7"/>
    <w:rsid w:val="00343436"/>
    <w:rsid w:val="00343A31"/>
    <w:rsid w:val="0034768D"/>
    <w:rsid w:val="00354CAF"/>
    <w:rsid w:val="00355CC8"/>
    <w:rsid w:val="00356F16"/>
    <w:rsid w:val="00361F46"/>
    <w:rsid w:val="00361F89"/>
    <w:rsid w:val="00363315"/>
    <w:rsid w:val="00366B5B"/>
    <w:rsid w:val="00366F39"/>
    <w:rsid w:val="00371383"/>
    <w:rsid w:val="00371BFC"/>
    <w:rsid w:val="0037613B"/>
    <w:rsid w:val="00377C29"/>
    <w:rsid w:val="00381B62"/>
    <w:rsid w:val="00385344"/>
    <w:rsid w:val="0039073D"/>
    <w:rsid w:val="00390A9A"/>
    <w:rsid w:val="003948FC"/>
    <w:rsid w:val="003A0148"/>
    <w:rsid w:val="003A0272"/>
    <w:rsid w:val="003A25F0"/>
    <w:rsid w:val="003A2B2A"/>
    <w:rsid w:val="003A41E5"/>
    <w:rsid w:val="003A7A44"/>
    <w:rsid w:val="003B4736"/>
    <w:rsid w:val="003C1F9A"/>
    <w:rsid w:val="003C2937"/>
    <w:rsid w:val="003C3E75"/>
    <w:rsid w:val="003C719D"/>
    <w:rsid w:val="003C7703"/>
    <w:rsid w:val="003C7761"/>
    <w:rsid w:val="003E3402"/>
    <w:rsid w:val="003E6633"/>
    <w:rsid w:val="003E7655"/>
    <w:rsid w:val="003F2E62"/>
    <w:rsid w:val="003F765E"/>
    <w:rsid w:val="003F7F9E"/>
    <w:rsid w:val="00404A2A"/>
    <w:rsid w:val="00405788"/>
    <w:rsid w:val="00405ED5"/>
    <w:rsid w:val="0040639E"/>
    <w:rsid w:val="00407DD6"/>
    <w:rsid w:val="00420CEA"/>
    <w:rsid w:val="00426906"/>
    <w:rsid w:val="00433E78"/>
    <w:rsid w:val="004377FC"/>
    <w:rsid w:val="00442E65"/>
    <w:rsid w:val="00444648"/>
    <w:rsid w:val="00450691"/>
    <w:rsid w:val="0045389D"/>
    <w:rsid w:val="00454EC2"/>
    <w:rsid w:val="0045512D"/>
    <w:rsid w:val="00457139"/>
    <w:rsid w:val="0045758A"/>
    <w:rsid w:val="00460ADD"/>
    <w:rsid w:val="00463EB2"/>
    <w:rsid w:val="004645E3"/>
    <w:rsid w:val="00466199"/>
    <w:rsid w:val="004766A2"/>
    <w:rsid w:val="00481002"/>
    <w:rsid w:val="00485266"/>
    <w:rsid w:val="004A29CF"/>
    <w:rsid w:val="004A3294"/>
    <w:rsid w:val="004A532B"/>
    <w:rsid w:val="004B1593"/>
    <w:rsid w:val="004B198E"/>
    <w:rsid w:val="004B1A45"/>
    <w:rsid w:val="004B5307"/>
    <w:rsid w:val="004B6E2F"/>
    <w:rsid w:val="004B7D2F"/>
    <w:rsid w:val="004B7E80"/>
    <w:rsid w:val="004C5227"/>
    <w:rsid w:val="004D2938"/>
    <w:rsid w:val="004E39E9"/>
    <w:rsid w:val="004E4849"/>
    <w:rsid w:val="004E4931"/>
    <w:rsid w:val="004F1E91"/>
    <w:rsid w:val="00501875"/>
    <w:rsid w:val="0050471B"/>
    <w:rsid w:val="00504C44"/>
    <w:rsid w:val="00506415"/>
    <w:rsid w:val="0050680E"/>
    <w:rsid w:val="00507B48"/>
    <w:rsid w:val="00511FB0"/>
    <w:rsid w:val="00513AD7"/>
    <w:rsid w:val="005141F9"/>
    <w:rsid w:val="00516DE7"/>
    <w:rsid w:val="0052205B"/>
    <w:rsid w:val="00522680"/>
    <w:rsid w:val="00522987"/>
    <w:rsid w:val="00526B07"/>
    <w:rsid w:val="00532697"/>
    <w:rsid w:val="005336F8"/>
    <w:rsid w:val="00534ECE"/>
    <w:rsid w:val="005456FB"/>
    <w:rsid w:val="00547EA6"/>
    <w:rsid w:val="00556F69"/>
    <w:rsid w:val="005626B7"/>
    <w:rsid w:val="005640E8"/>
    <w:rsid w:val="005715AF"/>
    <w:rsid w:val="00576716"/>
    <w:rsid w:val="00577563"/>
    <w:rsid w:val="00577DBA"/>
    <w:rsid w:val="00580D44"/>
    <w:rsid w:val="005813FB"/>
    <w:rsid w:val="00582DCD"/>
    <w:rsid w:val="00584645"/>
    <w:rsid w:val="00584CB4"/>
    <w:rsid w:val="005919F5"/>
    <w:rsid w:val="005922EE"/>
    <w:rsid w:val="00597CC6"/>
    <w:rsid w:val="005A1BFD"/>
    <w:rsid w:val="005A3063"/>
    <w:rsid w:val="005A6901"/>
    <w:rsid w:val="005A69C8"/>
    <w:rsid w:val="005B14F2"/>
    <w:rsid w:val="005B14FB"/>
    <w:rsid w:val="005B1C76"/>
    <w:rsid w:val="005C0C5D"/>
    <w:rsid w:val="005C3CC6"/>
    <w:rsid w:val="005C6B27"/>
    <w:rsid w:val="005D1B3F"/>
    <w:rsid w:val="005D1BFC"/>
    <w:rsid w:val="005D252E"/>
    <w:rsid w:val="005D3FC9"/>
    <w:rsid w:val="005D52BB"/>
    <w:rsid w:val="005D6E1B"/>
    <w:rsid w:val="005E355A"/>
    <w:rsid w:val="005E5178"/>
    <w:rsid w:val="005F1601"/>
    <w:rsid w:val="005F2ACF"/>
    <w:rsid w:val="005F2B35"/>
    <w:rsid w:val="005F605E"/>
    <w:rsid w:val="0060063B"/>
    <w:rsid w:val="00612986"/>
    <w:rsid w:val="0061371C"/>
    <w:rsid w:val="0061462E"/>
    <w:rsid w:val="0062029F"/>
    <w:rsid w:val="00631E26"/>
    <w:rsid w:val="00633F89"/>
    <w:rsid w:val="00636FCA"/>
    <w:rsid w:val="0064465C"/>
    <w:rsid w:val="00645F45"/>
    <w:rsid w:val="00650B4A"/>
    <w:rsid w:val="006538AD"/>
    <w:rsid w:val="006573D5"/>
    <w:rsid w:val="00657BDD"/>
    <w:rsid w:val="00661325"/>
    <w:rsid w:val="00663D12"/>
    <w:rsid w:val="00666280"/>
    <w:rsid w:val="00672847"/>
    <w:rsid w:val="006735CD"/>
    <w:rsid w:val="00673C7C"/>
    <w:rsid w:val="00674984"/>
    <w:rsid w:val="0067616A"/>
    <w:rsid w:val="0068093D"/>
    <w:rsid w:val="00683218"/>
    <w:rsid w:val="00687116"/>
    <w:rsid w:val="00693B72"/>
    <w:rsid w:val="0069540A"/>
    <w:rsid w:val="006A14FA"/>
    <w:rsid w:val="006A38BD"/>
    <w:rsid w:val="006A42D4"/>
    <w:rsid w:val="006A5469"/>
    <w:rsid w:val="006B341D"/>
    <w:rsid w:val="006B6F8D"/>
    <w:rsid w:val="006B79D2"/>
    <w:rsid w:val="006D0D2C"/>
    <w:rsid w:val="006D156A"/>
    <w:rsid w:val="006E420C"/>
    <w:rsid w:val="006F1764"/>
    <w:rsid w:val="006F21D3"/>
    <w:rsid w:val="006F33E0"/>
    <w:rsid w:val="006F3C97"/>
    <w:rsid w:val="006F57A0"/>
    <w:rsid w:val="00701539"/>
    <w:rsid w:val="00701BAB"/>
    <w:rsid w:val="00707153"/>
    <w:rsid w:val="00710008"/>
    <w:rsid w:val="0071124F"/>
    <w:rsid w:val="00712678"/>
    <w:rsid w:val="00712E24"/>
    <w:rsid w:val="00717268"/>
    <w:rsid w:val="007179AA"/>
    <w:rsid w:val="00720C07"/>
    <w:rsid w:val="00721B5F"/>
    <w:rsid w:val="00724737"/>
    <w:rsid w:val="0072649F"/>
    <w:rsid w:val="007273DB"/>
    <w:rsid w:val="00727CD6"/>
    <w:rsid w:val="007321F1"/>
    <w:rsid w:val="00733A95"/>
    <w:rsid w:val="00737AD8"/>
    <w:rsid w:val="00740E1B"/>
    <w:rsid w:val="007451E4"/>
    <w:rsid w:val="00747124"/>
    <w:rsid w:val="00747285"/>
    <w:rsid w:val="00747C7A"/>
    <w:rsid w:val="007504B7"/>
    <w:rsid w:val="00752C20"/>
    <w:rsid w:val="00753C23"/>
    <w:rsid w:val="00754B94"/>
    <w:rsid w:val="0075758D"/>
    <w:rsid w:val="0076682E"/>
    <w:rsid w:val="00770411"/>
    <w:rsid w:val="00774099"/>
    <w:rsid w:val="007809FD"/>
    <w:rsid w:val="0078221A"/>
    <w:rsid w:val="00783608"/>
    <w:rsid w:val="0078587E"/>
    <w:rsid w:val="00792E38"/>
    <w:rsid w:val="007A05E8"/>
    <w:rsid w:val="007A25C0"/>
    <w:rsid w:val="007A6625"/>
    <w:rsid w:val="007B034C"/>
    <w:rsid w:val="007B05DD"/>
    <w:rsid w:val="007C2BEB"/>
    <w:rsid w:val="007C4F41"/>
    <w:rsid w:val="007C4F45"/>
    <w:rsid w:val="007C5DD5"/>
    <w:rsid w:val="007C6B62"/>
    <w:rsid w:val="007C6E32"/>
    <w:rsid w:val="007D43EB"/>
    <w:rsid w:val="007D5BF9"/>
    <w:rsid w:val="007E1AB5"/>
    <w:rsid w:val="007E20B5"/>
    <w:rsid w:val="007E6698"/>
    <w:rsid w:val="007F29BE"/>
    <w:rsid w:val="007F3C8B"/>
    <w:rsid w:val="007F3D5F"/>
    <w:rsid w:val="007F7A38"/>
    <w:rsid w:val="008007DC"/>
    <w:rsid w:val="00801592"/>
    <w:rsid w:val="00802BB9"/>
    <w:rsid w:val="00803980"/>
    <w:rsid w:val="00804CAF"/>
    <w:rsid w:val="00807E1C"/>
    <w:rsid w:val="00821B95"/>
    <w:rsid w:val="00821F73"/>
    <w:rsid w:val="00822208"/>
    <w:rsid w:val="00822F5B"/>
    <w:rsid w:val="0082338B"/>
    <w:rsid w:val="00833D89"/>
    <w:rsid w:val="00836407"/>
    <w:rsid w:val="00840049"/>
    <w:rsid w:val="00842A73"/>
    <w:rsid w:val="00844A6D"/>
    <w:rsid w:val="00845476"/>
    <w:rsid w:val="00847162"/>
    <w:rsid w:val="0085089F"/>
    <w:rsid w:val="00851ADE"/>
    <w:rsid w:val="0085248F"/>
    <w:rsid w:val="00852885"/>
    <w:rsid w:val="0085468B"/>
    <w:rsid w:val="00857CCA"/>
    <w:rsid w:val="0086002D"/>
    <w:rsid w:val="00860EC8"/>
    <w:rsid w:val="008619F1"/>
    <w:rsid w:val="00863EAD"/>
    <w:rsid w:val="008651D7"/>
    <w:rsid w:val="0087268B"/>
    <w:rsid w:val="008730DC"/>
    <w:rsid w:val="00874EA5"/>
    <w:rsid w:val="008765CF"/>
    <w:rsid w:val="0087731C"/>
    <w:rsid w:val="008856AA"/>
    <w:rsid w:val="00885E64"/>
    <w:rsid w:val="00893082"/>
    <w:rsid w:val="00893C0E"/>
    <w:rsid w:val="00894DB4"/>
    <w:rsid w:val="00897452"/>
    <w:rsid w:val="008A0B07"/>
    <w:rsid w:val="008A1475"/>
    <w:rsid w:val="008A154B"/>
    <w:rsid w:val="008A5908"/>
    <w:rsid w:val="008A5F51"/>
    <w:rsid w:val="008B01D9"/>
    <w:rsid w:val="008B0926"/>
    <w:rsid w:val="008B20A4"/>
    <w:rsid w:val="008B5184"/>
    <w:rsid w:val="008B538A"/>
    <w:rsid w:val="008B7AAC"/>
    <w:rsid w:val="008C0080"/>
    <w:rsid w:val="008C2F68"/>
    <w:rsid w:val="008C4C53"/>
    <w:rsid w:val="008C6C67"/>
    <w:rsid w:val="008D1830"/>
    <w:rsid w:val="008D4559"/>
    <w:rsid w:val="008D4998"/>
    <w:rsid w:val="008D56FF"/>
    <w:rsid w:val="008D6F82"/>
    <w:rsid w:val="008E201E"/>
    <w:rsid w:val="008E5FDF"/>
    <w:rsid w:val="008F0809"/>
    <w:rsid w:val="008F2B1E"/>
    <w:rsid w:val="008F67CF"/>
    <w:rsid w:val="008F7057"/>
    <w:rsid w:val="00903FDB"/>
    <w:rsid w:val="00905516"/>
    <w:rsid w:val="00905A0C"/>
    <w:rsid w:val="00907952"/>
    <w:rsid w:val="009106AD"/>
    <w:rsid w:val="00911DBE"/>
    <w:rsid w:val="00914D90"/>
    <w:rsid w:val="0091667B"/>
    <w:rsid w:val="009171B3"/>
    <w:rsid w:val="00917BC8"/>
    <w:rsid w:val="009201F4"/>
    <w:rsid w:val="009210F1"/>
    <w:rsid w:val="00923874"/>
    <w:rsid w:val="00923D69"/>
    <w:rsid w:val="0092556F"/>
    <w:rsid w:val="0093368C"/>
    <w:rsid w:val="00937933"/>
    <w:rsid w:val="00937C13"/>
    <w:rsid w:val="009441BD"/>
    <w:rsid w:val="00947704"/>
    <w:rsid w:val="00955826"/>
    <w:rsid w:val="00955EB9"/>
    <w:rsid w:val="009565D0"/>
    <w:rsid w:val="00957595"/>
    <w:rsid w:val="00957690"/>
    <w:rsid w:val="009619A7"/>
    <w:rsid w:val="00963409"/>
    <w:rsid w:val="009636EB"/>
    <w:rsid w:val="00970E91"/>
    <w:rsid w:val="009715F5"/>
    <w:rsid w:val="00974B72"/>
    <w:rsid w:val="00976098"/>
    <w:rsid w:val="0098508B"/>
    <w:rsid w:val="00985E9F"/>
    <w:rsid w:val="00986C83"/>
    <w:rsid w:val="00987451"/>
    <w:rsid w:val="0099319C"/>
    <w:rsid w:val="00995AC0"/>
    <w:rsid w:val="009A1AA8"/>
    <w:rsid w:val="009A6345"/>
    <w:rsid w:val="009A76A8"/>
    <w:rsid w:val="009B30E7"/>
    <w:rsid w:val="009B47CD"/>
    <w:rsid w:val="009B4D94"/>
    <w:rsid w:val="009B4F09"/>
    <w:rsid w:val="009C26B5"/>
    <w:rsid w:val="009C6294"/>
    <w:rsid w:val="009C6517"/>
    <w:rsid w:val="009D2E82"/>
    <w:rsid w:val="009E221D"/>
    <w:rsid w:val="009E2D00"/>
    <w:rsid w:val="009E4AEF"/>
    <w:rsid w:val="009F0132"/>
    <w:rsid w:val="009F3C06"/>
    <w:rsid w:val="009F62BB"/>
    <w:rsid w:val="00A026FB"/>
    <w:rsid w:val="00A04952"/>
    <w:rsid w:val="00A05AEC"/>
    <w:rsid w:val="00A067D4"/>
    <w:rsid w:val="00A11977"/>
    <w:rsid w:val="00A12737"/>
    <w:rsid w:val="00A165BC"/>
    <w:rsid w:val="00A231A8"/>
    <w:rsid w:val="00A2568F"/>
    <w:rsid w:val="00A2625F"/>
    <w:rsid w:val="00A264A9"/>
    <w:rsid w:val="00A265B8"/>
    <w:rsid w:val="00A27ADD"/>
    <w:rsid w:val="00A314CB"/>
    <w:rsid w:val="00A316DD"/>
    <w:rsid w:val="00A317AD"/>
    <w:rsid w:val="00A33DA2"/>
    <w:rsid w:val="00A34F68"/>
    <w:rsid w:val="00A3503B"/>
    <w:rsid w:val="00A36E0D"/>
    <w:rsid w:val="00A4108E"/>
    <w:rsid w:val="00A425EF"/>
    <w:rsid w:val="00A45863"/>
    <w:rsid w:val="00A45A9D"/>
    <w:rsid w:val="00A467CE"/>
    <w:rsid w:val="00A536A6"/>
    <w:rsid w:val="00A54140"/>
    <w:rsid w:val="00A5451B"/>
    <w:rsid w:val="00A61FD0"/>
    <w:rsid w:val="00A62497"/>
    <w:rsid w:val="00A6547B"/>
    <w:rsid w:val="00A659F6"/>
    <w:rsid w:val="00A7041D"/>
    <w:rsid w:val="00A7154A"/>
    <w:rsid w:val="00A72256"/>
    <w:rsid w:val="00A751A1"/>
    <w:rsid w:val="00A80728"/>
    <w:rsid w:val="00A92E01"/>
    <w:rsid w:val="00AA37D1"/>
    <w:rsid w:val="00AA4E4F"/>
    <w:rsid w:val="00AB2BBA"/>
    <w:rsid w:val="00AB4226"/>
    <w:rsid w:val="00AB4840"/>
    <w:rsid w:val="00AB4981"/>
    <w:rsid w:val="00AB6598"/>
    <w:rsid w:val="00AB6F78"/>
    <w:rsid w:val="00AB7CF0"/>
    <w:rsid w:val="00AC0931"/>
    <w:rsid w:val="00AC16E1"/>
    <w:rsid w:val="00AC196D"/>
    <w:rsid w:val="00AC48A0"/>
    <w:rsid w:val="00AC7F5C"/>
    <w:rsid w:val="00AD2E03"/>
    <w:rsid w:val="00AD3EC9"/>
    <w:rsid w:val="00AD6052"/>
    <w:rsid w:val="00AE0C21"/>
    <w:rsid w:val="00AE1A91"/>
    <w:rsid w:val="00AE1AED"/>
    <w:rsid w:val="00AE1FD1"/>
    <w:rsid w:val="00AE66C9"/>
    <w:rsid w:val="00AE7E81"/>
    <w:rsid w:val="00AE7F6D"/>
    <w:rsid w:val="00AF0B8D"/>
    <w:rsid w:val="00B04DAE"/>
    <w:rsid w:val="00B0510A"/>
    <w:rsid w:val="00B0525A"/>
    <w:rsid w:val="00B139DE"/>
    <w:rsid w:val="00B13E6B"/>
    <w:rsid w:val="00B162DC"/>
    <w:rsid w:val="00B22512"/>
    <w:rsid w:val="00B22F69"/>
    <w:rsid w:val="00B230FA"/>
    <w:rsid w:val="00B236F0"/>
    <w:rsid w:val="00B263FF"/>
    <w:rsid w:val="00B32D14"/>
    <w:rsid w:val="00B36071"/>
    <w:rsid w:val="00B40FB4"/>
    <w:rsid w:val="00B417D1"/>
    <w:rsid w:val="00B4268C"/>
    <w:rsid w:val="00B5047A"/>
    <w:rsid w:val="00B5490C"/>
    <w:rsid w:val="00B5587C"/>
    <w:rsid w:val="00B57139"/>
    <w:rsid w:val="00B605FA"/>
    <w:rsid w:val="00B60FC7"/>
    <w:rsid w:val="00B62DBC"/>
    <w:rsid w:val="00B65386"/>
    <w:rsid w:val="00B667DD"/>
    <w:rsid w:val="00B66A2A"/>
    <w:rsid w:val="00B67808"/>
    <w:rsid w:val="00B71C81"/>
    <w:rsid w:val="00B73562"/>
    <w:rsid w:val="00B77A98"/>
    <w:rsid w:val="00B815F6"/>
    <w:rsid w:val="00B8579C"/>
    <w:rsid w:val="00B85C65"/>
    <w:rsid w:val="00B87203"/>
    <w:rsid w:val="00B87E35"/>
    <w:rsid w:val="00B90BC3"/>
    <w:rsid w:val="00B94B41"/>
    <w:rsid w:val="00B97211"/>
    <w:rsid w:val="00BA3A9D"/>
    <w:rsid w:val="00BA6497"/>
    <w:rsid w:val="00BB0F7E"/>
    <w:rsid w:val="00BB43DC"/>
    <w:rsid w:val="00BB5D57"/>
    <w:rsid w:val="00BB5EDE"/>
    <w:rsid w:val="00BB5F1F"/>
    <w:rsid w:val="00BB7A63"/>
    <w:rsid w:val="00BC0579"/>
    <w:rsid w:val="00BC10A4"/>
    <w:rsid w:val="00BC1E53"/>
    <w:rsid w:val="00BC21A0"/>
    <w:rsid w:val="00BC3886"/>
    <w:rsid w:val="00BD1B26"/>
    <w:rsid w:val="00BD2BBF"/>
    <w:rsid w:val="00BD3969"/>
    <w:rsid w:val="00BD47FA"/>
    <w:rsid w:val="00BD4F2A"/>
    <w:rsid w:val="00BD6A8B"/>
    <w:rsid w:val="00BE45C5"/>
    <w:rsid w:val="00BF4598"/>
    <w:rsid w:val="00BF4826"/>
    <w:rsid w:val="00BF73B5"/>
    <w:rsid w:val="00C0243B"/>
    <w:rsid w:val="00C046B2"/>
    <w:rsid w:val="00C05F24"/>
    <w:rsid w:val="00C069DB"/>
    <w:rsid w:val="00C06F74"/>
    <w:rsid w:val="00C07506"/>
    <w:rsid w:val="00C10073"/>
    <w:rsid w:val="00C10576"/>
    <w:rsid w:val="00C15686"/>
    <w:rsid w:val="00C159BD"/>
    <w:rsid w:val="00C165B1"/>
    <w:rsid w:val="00C175CC"/>
    <w:rsid w:val="00C17E10"/>
    <w:rsid w:val="00C17F63"/>
    <w:rsid w:val="00C20794"/>
    <w:rsid w:val="00C23F42"/>
    <w:rsid w:val="00C25BFD"/>
    <w:rsid w:val="00C321C8"/>
    <w:rsid w:val="00C41C37"/>
    <w:rsid w:val="00C433A0"/>
    <w:rsid w:val="00C43BD7"/>
    <w:rsid w:val="00C44AF5"/>
    <w:rsid w:val="00C503F0"/>
    <w:rsid w:val="00C51B73"/>
    <w:rsid w:val="00C52462"/>
    <w:rsid w:val="00C5251C"/>
    <w:rsid w:val="00C53617"/>
    <w:rsid w:val="00C63E2F"/>
    <w:rsid w:val="00C65878"/>
    <w:rsid w:val="00C672AD"/>
    <w:rsid w:val="00C70B72"/>
    <w:rsid w:val="00C7489C"/>
    <w:rsid w:val="00C75B47"/>
    <w:rsid w:val="00C75C79"/>
    <w:rsid w:val="00C76D24"/>
    <w:rsid w:val="00C76D2A"/>
    <w:rsid w:val="00C77F55"/>
    <w:rsid w:val="00C815B2"/>
    <w:rsid w:val="00C820EB"/>
    <w:rsid w:val="00C83F4E"/>
    <w:rsid w:val="00C84EC6"/>
    <w:rsid w:val="00C862CA"/>
    <w:rsid w:val="00C871D5"/>
    <w:rsid w:val="00C9046C"/>
    <w:rsid w:val="00C90D2A"/>
    <w:rsid w:val="00C9311C"/>
    <w:rsid w:val="00C9322E"/>
    <w:rsid w:val="00C97FAE"/>
    <w:rsid w:val="00CA1F48"/>
    <w:rsid w:val="00CA2BF3"/>
    <w:rsid w:val="00CA5B5F"/>
    <w:rsid w:val="00CA6022"/>
    <w:rsid w:val="00CA73AE"/>
    <w:rsid w:val="00CB0C45"/>
    <w:rsid w:val="00CB0E86"/>
    <w:rsid w:val="00CB6DA8"/>
    <w:rsid w:val="00CB6E85"/>
    <w:rsid w:val="00CB74AC"/>
    <w:rsid w:val="00CC1B10"/>
    <w:rsid w:val="00CC289B"/>
    <w:rsid w:val="00CC3FCA"/>
    <w:rsid w:val="00CC693B"/>
    <w:rsid w:val="00CC7AEE"/>
    <w:rsid w:val="00CD0E20"/>
    <w:rsid w:val="00CD4EDA"/>
    <w:rsid w:val="00CD5265"/>
    <w:rsid w:val="00CE5CBB"/>
    <w:rsid w:val="00CE64D6"/>
    <w:rsid w:val="00CE7615"/>
    <w:rsid w:val="00CF0661"/>
    <w:rsid w:val="00CF20A3"/>
    <w:rsid w:val="00CF24D9"/>
    <w:rsid w:val="00CF48E7"/>
    <w:rsid w:val="00CF4A15"/>
    <w:rsid w:val="00D016CF"/>
    <w:rsid w:val="00D04D43"/>
    <w:rsid w:val="00D06D54"/>
    <w:rsid w:val="00D077B6"/>
    <w:rsid w:val="00D07BFF"/>
    <w:rsid w:val="00D11F6A"/>
    <w:rsid w:val="00D1523E"/>
    <w:rsid w:val="00D20329"/>
    <w:rsid w:val="00D22486"/>
    <w:rsid w:val="00D244DA"/>
    <w:rsid w:val="00D37CBF"/>
    <w:rsid w:val="00D40473"/>
    <w:rsid w:val="00D40F6D"/>
    <w:rsid w:val="00D4373A"/>
    <w:rsid w:val="00D43B02"/>
    <w:rsid w:val="00D51E00"/>
    <w:rsid w:val="00D52FC3"/>
    <w:rsid w:val="00D55093"/>
    <w:rsid w:val="00D55C65"/>
    <w:rsid w:val="00D575CF"/>
    <w:rsid w:val="00D66898"/>
    <w:rsid w:val="00D66E5B"/>
    <w:rsid w:val="00D675E2"/>
    <w:rsid w:val="00D73532"/>
    <w:rsid w:val="00D753CD"/>
    <w:rsid w:val="00D75D26"/>
    <w:rsid w:val="00D766AD"/>
    <w:rsid w:val="00D77540"/>
    <w:rsid w:val="00D77C29"/>
    <w:rsid w:val="00D8038E"/>
    <w:rsid w:val="00D82372"/>
    <w:rsid w:val="00D83A72"/>
    <w:rsid w:val="00D91F9C"/>
    <w:rsid w:val="00D927E5"/>
    <w:rsid w:val="00D96A19"/>
    <w:rsid w:val="00DA1702"/>
    <w:rsid w:val="00DA25B8"/>
    <w:rsid w:val="00DB13E8"/>
    <w:rsid w:val="00DB19C8"/>
    <w:rsid w:val="00DB265B"/>
    <w:rsid w:val="00DB3AEC"/>
    <w:rsid w:val="00DB4D37"/>
    <w:rsid w:val="00DC2625"/>
    <w:rsid w:val="00DC3D2E"/>
    <w:rsid w:val="00DD11D6"/>
    <w:rsid w:val="00DD4644"/>
    <w:rsid w:val="00DE09C0"/>
    <w:rsid w:val="00DE0F4D"/>
    <w:rsid w:val="00DE1749"/>
    <w:rsid w:val="00DE44DC"/>
    <w:rsid w:val="00DE4E25"/>
    <w:rsid w:val="00DE7D6E"/>
    <w:rsid w:val="00DF5B3A"/>
    <w:rsid w:val="00DF6DB3"/>
    <w:rsid w:val="00E10B4F"/>
    <w:rsid w:val="00E11758"/>
    <w:rsid w:val="00E12F16"/>
    <w:rsid w:val="00E13A45"/>
    <w:rsid w:val="00E20503"/>
    <w:rsid w:val="00E27A29"/>
    <w:rsid w:val="00E3350C"/>
    <w:rsid w:val="00E34516"/>
    <w:rsid w:val="00E346CD"/>
    <w:rsid w:val="00E37196"/>
    <w:rsid w:val="00E40796"/>
    <w:rsid w:val="00E40822"/>
    <w:rsid w:val="00E425CA"/>
    <w:rsid w:val="00E427B0"/>
    <w:rsid w:val="00E44DD9"/>
    <w:rsid w:val="00E616F9"/>
    <w:rsid w:val="00E61BF9"/>
    <w:rsid w:val="00E63F08"/>
    <w:rsid w:val="00E6513F"/>
    <w:rsid w:val="00E758D7"/>
    <w:rsid w:val="00E80830"/>
    <w:rsid w:val="00E83989"/>
    <w:rsid w:val="00E84E65"/>
    <w:rsid w:val="00E93CEC"/>
    <w:rsid w:val="00E96696"/>
    <w:rsid w:val="00E97B95"/>
    <w:rsid w:val="00EA2F01"/>
    <w:rsid w:val="00EA55BD"/>
    <w:rsid w:val="00EA632C"/>
    <w:rsid w:val="00EA71C0"/>
    <w:rsid w:val="00EA72BE"/>
    <w:rsid w:val="00EB220D"/>
    <w:rsid w:val="00EB3A07"/>
    <w:rsid w:val="00EB4948"/>
    <w:rsid w:val="00EB5D82"/>
    <w:rsid w:val="00EB5EF9"/>
    <w:rsid w:val="00EB7D02"/>
    <w:rsid w:val="00EB7D37"/>
    <w:rsid w:val="00EC0E17"/>
    <w:rsid w:val="00EC2622"/>
    <w:rsid w:val="00EC3399"/>
    <w:rsid w:val="00EC35E0"/>
    <w:rsid w:val="00EC7B3F"/>
    <w:rsid w:val="00ED15F8"/>
    <w:rsid w:val="00ED2DC2"/>
    <w:rsid w:val="00ED3E11"/>
    <w:rsid w:val="00ED6969"/>
    <w:rsid w:val="00ED6C06"/>
    <w:rsid w:val="00EE3E09"/>
    <w:rsid w:val="00EE5A5E"/>
    <w:rsid w:val="00EE602C"/>
    <w:rsid w:val="00EF646D"/>
    <w:rsid w:val="00EF7083"/>
    <w:rsid w:val="00F01DB8"/>
    <w:rsid w:val="00F05BA3"/>
    <w:rsid w:val="00F07506"/>
    <w:rsid w:val="00F20728"/>
    <w:rsid w:val="00F21AC4"/>
    <w:rsid w:val="00F22B6B"/>
    <w:rsid w:val="00F247C4"/>
    <w:rsid w:val="00F4379D"/>
    <w:rsid w:val="00F51A81"/>
    <w:rsid w:val="00F52449"/>
    <w:rsid w:val="00F529F9"/>
    <w:rsid w:val="00F53C59"/>
    <w:rsid w:val="00F5574C"/>
    <w:rsid w:val="00F61270"/>
    <w:rsid w:val="00F636BF"/>
    <w:rsid w:val="00F63D5A"/>
    <w:rsid w:val="00F75659"/>
    <w:rsid w:val="00F758A8"/>
    <w:rsid w:val="00F80674"/>
    <w:rsid w:val="00F80FAF"/>
    <w:rsid w:val="00F8101A"/>
    <w:rsid w:val="00F810DD"/>
    <w:rsid w:val="00F901E2"/>
    <w:rsid w:val="00F91698"/>
    <w:rsid w:val="00F92286"/>
    <w:rsid w:val="00F9263B"/>
    <w:rsid w:val="00F92D38"/>
    <w:rsid w:val="00FA0E7C"/>
    <w:rsid w:val="00FA2886"/>
    <w:rsid w:val="00FA2CC7"/>
    <w:rsid w:val="00FA7B50"/>
    <w:rsid w:val="00FB4CD4"/>
    <w:rsid w:val="00FC1951"/>
    <w:rsid w:val="00FC4994"/>
    <w:rsid w:val="00FC6CE7"/>
    <w:rsid w:val="00FE07A7"/>
    <w:rsid w:val="00FE0B2B"/>
    <w:rsid w:val="00FE152A"/>
    <w:rsid w:val="00FE2480"/>
    <w:rsid w:val="00FE3391"/>
    <w:rsid w:val="00FE562D"/>
    <w:rsid w:val="00FE74A7"/>
    <w:rsid w:val="00FE75C2"/>
    <w:rsid w:val="00FF12D6"/>
    <w:rsid w:val="00FF2ED7"/>
    <w:rsid w:val="010CC514"/>
    <w:rsid w:val="022B132C"/>
    <w:rsid w:val="088A65DC"/>
    <w:rsid w:val="08C77040"/>
    <w:rsid w:val="0976FCFC"/>
    <w:rsid w:val="09B2D870"/>
    <w:rsid w:val="0B787392"/>
    <w:rsid w:val="1E6AB219"/>
    <w:rsid w:val="1E78BD2C"/>
    <w:rsid w:val="223A5EFA"/>
    <w:rsid w:val="25FDE5D8"/>
    <w:rsid w:val="2678AADF"/>
    <w:rsid w:val="27FBEB56"/>
    <w:rsid w:val="2A5E0DF1"/>
    <w:rsid w:val="2AAFCA3E"/>
    <w:rsid w:val="2E8A4485"/>
    <w:rsid w:val="315B5473"/>
    <w:rsid w:val="34F59E77"/>
    <w:rsid w:val="35779ECF"/>
    <w:rsid w:val="362551A1"/>
    <w:rsid w:val="3C316F7E"/>
    <w:rsid w:val="3DAAC19B"/>
    <w:rsid w:val="49F9DCDD"/>
    <w:rsid w:val="4F4CA1FC"/>
    <w:rsid w:val="58653D91"/>
    <w:rsid w:val="5A02D35F"/>
    <w:rsid w:val="5BCCBBB5"/>
    <w:rsid w:val="5E1113A3"/>
    <w:rsid w:val="60DA91C8"/>
    <w:rsid w:val="65C92588"/>
    <w:rsid w:val="66DF66BF"/>
    <w:rsid w:val="736717F3"/>
    <w:rsid w:val="76C097E6"/>
    <w:rsid w:val="779DD560"/>
    <w:rsid w:val="7C622E25"/>
    <w:rsid w:val="7E47E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9B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80"/>
  </w:style>
  <w:style w:type="paragraph" w:styleId="Heading1">
    <w:name w:val="heading 1"/>
    <w:basedOn w:val="Normal"/>
    <w:next w:val="Normal"/>
    <w:link w:val="Heading1Char"/>
    <w:uiPriority w:val="9"/>
    <w:qFormat/>
    <w:rsid w:val="008A0B07"/>
    <w:pPr>
      <w:keepNext/>
      <w:keepLines/>
      <w:numPr>
        <w:numId w:val="3"/>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8A0B07"/>
    <w:pPr>
      <w:keepNext/>
      <w:keepLines/>
      <w:numPr>
        <w:ilvl w:val="1"/>
        <w:numId w:val="3"/>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8A0B07"/>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0B07"/>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0B07"/>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0B07"/>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0B07"/>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0B0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0B0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Elenco num ARGEA,body,Odsek zoznamu2,Opsom 1,Normal bullet 2,Bullet list,List Paragraph1,Numbered List,1st level - Bullet List Paragraph,Lettre d'introduction,Paragrafo elenco,Bullet 1,Heading 2_sj,Dot pt"/>
    <w:basedOn w:val="Normal"/>
    <w:link w:val="ListParagraphChar"/>
    <w:uiPriority w:val="34"/>
    <w:qFormat/>
    <w:rsid w:val="00822F5B"/>
    <w:pPr>
      <w:ind w:left="720"/>
      <w:contextualSpacing/>
    </w:pPr>
  </w:style>
  <w:style w:type="paragraph" w:styleId="Footnote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otnoteTextChar"/>
    <w:uiPriority w:val="99"/>
    <w:unhideWhenUsed/>
    <w:qFormat/>
    <w:rsid w:val="00847162"/>
    <w:pPr>
      <w:spacing w:after="0" w:line="240" w:lineRule="auto"/>
    </w:pPr>
    <w:rPr>
      <w:rFonts w:ascii="Times New Roman" w:hAnsi="Times New Roman"/>
      <w:sz w:val="20"/>
      <w:szCs w:val="20"/>
    </w:rPr>
  </w:style>
  <w:style w:type="character" w:customStyle="1" w:styleId="FootnoteTextChar">
    <w:name w:val="Footnote Text Char"/>
    <w:aliases w:val="a Char,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qFormat/>
    <w:rsid w:val="00847162"/>
    <w:rPr>
      <w:rFonts w:ascii="Times New Roman" w:hAnsi="Times New Roman"/>
      <w:sz w:val="20"/>
      <w:szCs w:val="20"/>
    </w:rPr>
  </w:style>
  <w:style w:type="character" w:styleId="FootnoteReference">
    <w:name w:val="footnote reference"/>
    <w:aliases w:val="Nota,Footnote symbol,Footnote number, Char1,Char1,Ref,de nota al pie"/>
    <w:basedOn w:val="DefaultParagraphFont"/>
    <w:uiPriority w:val="99"/>
    <w:unhideWhenUsed/>
    <w:rsid w:val="005E5178"/>
    <w:rPr>
      <w:vertAlign w:val="superscript"/>
    </w:rPr>
  </w:style>
  <w:style w:type="character" w:styleId="Hyperlink">
    <w:name w:val="Hyperlink"/>
    <w:basedOn w:val="DefaultParagraphFont"/>
    <w:uiPriority w:val="99"/>
    <w:unhideWhenUsed/>
    <w:rsid w:val="00303BAF"/>
    <w:rPr>
      <w:color w:val="0563C1" w:themeColor="hyperlink"/>
      <w:u w:val="single"/>
    </w:rPr>
  </w:style>
  <w:style w:type="paragraph" w:styleId="BalloonText">
    <w:name w:val="Balloon Text"/>
    <w:basedOn w:val="Normal"/>
    <w:link w:val="BalloonTextChar"/>
    <w:uiPriority w:val="99"/>
    <w:semiHidden/>
    <w:unhideWhenUsed/>
    <w:rsid w:val="00B1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DC"/>
    <w:rPr>
      <w:rFonts w:ascii="Segoe UI" w:hAnsi="Segoe UI" w:cs="Segoe UI"/>
      <w:sz w:val="18"/>
      <w:szCs w:val="18"/>
    </w:rPr>
  </w:style>
  <w:style w:type="character" w:styleId="CommentReference">
    <w:name w:val="annotation reference"/>
    <w:basedOn w:val="DefaultParagraphFont"/>
    <w:uiPriority w:val="99"/>
    <w:semiHidden/>
    <w:unhideWhenUsed/>
    <w:rsid w:val="000F662C"/>
    <w:rPr>
      <w:sz w:val="16"/>
      <w:szCs w:val="16"/>
    </w:rPr>
  </w:style>
  <w:style w:type="paragraph" w:styleId="CommentText">
    <w:name w:val="annotation text"/>
    <w:basedOn w:val="Normal"/>
    <w:link w:val="CommentTextChar"/>
    <w:uiPriority w:val="99"/>
    <w:unhideWhenUsed/>
    <w:rsid w:val="000F662C"/>
    <w:pPr>
      <w:spacing w:line="240" w:lineRule="auto"/>
    </w:pPr>
    <w:rPr>
      <w:sz w:val="20"/>
      <w:szCs w:val="20"/>
    </w:rPr>
  </w:style>
  <w:style w:type="character" w:customStyle="1" w:styleId="CommentTextChar">
    <w:name w:val="Comment Text Char"/>
    <w:basedOn w:val="DefaultParagraphFont"/>
    <w:link w:val="CommentText"/>
    <w:uiPriority w:val="99"/>
    <w:rsid w:val="000F662C"/>
    <w:rPr>
      <w:sz w:val="20"/>
      <w:szCs w:val="20"/>
    </w:rPr>
  </w:style>
  <w:style w:type="paragraph" w:styleId="CommentSubject">
    <w:name w:val="annotation subject"/>
    <w:basedOn w:val="CommentText"/>
    <w:next w:val="CommentText"/>
    <w:link w:val="CommentSubjectChar"/>
    <w:uiPriority w:val="99"/>
    <w:semiHidden/>
    <w:unhideWhenUsed/>
    <w:rsid w:val="000F662C"/>
    <w:rPr>
      <w:b/>
      <w:bCs/>
    </w:rPr>
  </w:style>
  <w:style w:type="character" w:customStyle="1" w:styleId="CommentSubjectChar">
    <w:name w:val="Comment Subject Char"/>
    <w:basedOn w:val="CommentTextChar"/>
    <w:link w:val="CommentSubject"/>
    <w:uiPriority w:val="99"/>
    <w:semiHidden/>
    <w:rsid w:val="000F662C"/>
    <w:rPr>
      <w:b/>
      <w:bCs/>
      <w:sz w:val="20"/>
      <w:szCs w:val="20"/>
    </w:rPr>
  </w:style>
  <w:style w:type="paragraph" w:styleId="Header">
    <w:name w:val="header"/>
    <w:basedOn w:val="Normal"/>
    <w:link w:val="HeaderChar"/>
    <w:uiPriority w:val="99"/>
    <w:unhideWhenUsed/>
    <w:rsid w:val="004A3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94"/>
  </w:style>
  <w:style w:type="paragraph" w:styleId="Footer">
    <w:name w:val="footer"/>
    <w:basedOn w:val="Normal"/>
    <w:link w:val="FooterChar"/>
    <w:uiPriority w:val="99"/>
    <w:unhideWhenUsed/>
    <w:rsid w:val="004A3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94"/>
  </w:style>
  <w:style w:type="character" w:customStyle="1" w:styleId="ListParagraphChar">
    <w:name w:val="List Paragraph Char"/>
    <w:aliases w:val="Table of contents numbered Char,Elenco num ARGEA Char,body Char,Odsek zoznamu2 Char,Opsom 1 Char,Normal bullet 2 Char,Bullet list Char,List Paragraph1 Char,Numbered List Char,1st level - Bullet List Paragraph Char,Bullet 1 Char"/>
    <w:link w:val="ListParagraph"/>
    <w:uiPriority w:val="34"/>
    <w:qFormat/>
    <w:rsid w:val="00FF2ED7"/>
  </w:style>
  <w:style w:type="paragraph" w:customStyle="1" w:styleId="Funote1">
    <w:name w:val="Fußnote1"/>
    <w:basedOn w:val="Normal"/>
    <w:next w:val="FootnoteText"/>
    <w:uiPriority w:val="99"/>
    <w:unhideWhenUsed/>
    <w:qFormat/>
    <w:rsid w:val="008A1475"/>
    <w:pPr>
      <w:spacing w:after="0" w:line="240" w:lineRule="auto"/>
      <w:jc w:val="both"/>
    </w:pPr>
    <w:rPr>
      <w:rFonts w:ascii="Times New Roman" w:hAnsi="Times New Roman"/>
      <w:sz w:val="20"/>
      <w:szCs w:val="20"/>
    </w:rPr>
  </w:style>
  <w:style w:type="table" w:styleId="TableGrid">
    <w:name w:val="Table Grid"/>
    <w:basedOn w:val="TableNormal"/>
    <w:uiPriority w:val="59"/>
    <w:rsid w:val="002D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3F7"/>
    <w:pPr>
      <w:spacing w:before="100" w:beforeAutospacing="1" w:after="100" w:afterAutospacing="1" w:line="240" w:lineRule="auto"/>
      <w:jc w:val="both"/>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8A0B07"/>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8A0B07"/>
    <w:pPr>
      <w:outlineLvl w:val="9"/>
    </w:pPr>
    <w:rPr>
      <w:lang w:val="en-US"/>
    </w:rPr>
  </w:style>
  <w:style w:type="character" w:customStyle="1" w:styleId="Heading2Char">
    <w:name w:val="Heading 2 Char"/>
    <w:basedOn w:val="DefaultParagraphFont"/>
    <w:link w:val="Heading2"/>
    <w:uiPriority w:val="9"/>
    <w:rsid w:val="008A0B0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A0B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0B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A0B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A0B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A0B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A0B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0B0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92E01"/>
    <w:pPr>
      <w:tabs>
        <w:tab w:val="left" w:pos="1100"/>
        <w:tab w:val="right" w:leader="dot" w:pos="9016"/>
      </w:tabs>
      <w:spacing w:after="100"/>
    </w:pPr>
  </w:style>
  <w:style w:type="paragraph" w:styleId="TOC2">
    <w:name w:val="toc 2"/>
    <w:basedOn w:val="Normal"/>
    <w:next w:val="Normal"/>
    <w:autoRedefine/>
    <w:uiPriority w:val="39"/>
    <w:unhideWhenUsed/>
    <w:rsid w:val="008A0B07"/>
    <w:pPr>
      <w:spacing w:after="100"/>
      <w:ind w:left="220"/>
    </w:pPr>
  </w:style>
  <w:style w:type="paragraph" w:styleId="Revision">
    <w:name w:val="Revision"/>
    <w:hidden/>
    <w:uiPriority w:val="99"/>
    <w:semiHidden/>
    <w:rsid w:val="00B67808"/>
    <w:pPr>
      <w:spacing w:after="0" w:line="240" w:lineRule="auto"/>
    </w:pPr>
  </w:style>
  <w:style w:type="character" w:styleId="FollowedHyperlink">
    <w:name w:val="FollowedHyperlink"/>
    <w:basedOn w:val="DefaultParagraphFont"/>
    <w:uiPriority w:val="99"/>
    <w:semiHidden/>
    <w:unhideWhenUsed/>
    <w:rsid w:val="005813FB"/>
    <w:rPr>
      <w:color w:val="954F72" w:themeColor="followedHyperlink"/>
      <w:u w:val="single"/>
    </w:rPr>
  </w:style>
  <w:style w:type="paragraph" w:customStyle="1" w:styleId="doc-ti">
    <w:name w:val="doc-ti"/>
    <w:basedOn w:val="Normal"/>
    <w:rsid w:val="00B0525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644">
      <w:bodyDiv w:val="1"/>
      <w:marLeft w:val="0"/>
      <w:marRight w:val="0"/>
      <w:marTop w:val="0"/>
      <w:marBottom w:val="0"/>
      <w:divBdr>
        <w:top w:val="none" w:sz="0" w:space="0" w:color="auto"/>
        <w:left w:val="none" w:sz="0" w:space="0" w:color="auto"/>
        <w:bottom w:val="none" w:sz="0" w:space="0" w:color="auto"/>
        <w:right w:val="none" w:sz="0" w:space="0" w:color="auto"/>
      </w:divBdr>
    </w:div>
    <w:div w:id="271203131">
      <w:bodyDiv w:val="1"/>
      <w:marLeft w:val="0"/>
      <w:marRight w:val="0"/>
      <w:marTop w:val="0"/>
      <w:marBottom w:val="0"/>
      <w:divBdr>
        <w:top w:val="none" w:sz="0" w:space="0" w:color="auto"/>
        <w:left w:val="none" w:sz="0" w:space="0" w:color="auto"/>
        <w:bottom w:val="none" w:sz="0" w:space="0" w:color="auto"/>
        <w:right w:val="none" w:sz="0" w:space="0" w:color="auto"/>
      </w:divBdr>
    </w:div>
    <w:div w:id="578903423">
      <w:bodyDiv w:val="1"/>
      <w:marLeft w:val="0"/>
      <w:marRight w:val="0"/>
      <w:marTop w:val="0"/>
      <w:marBottom w:val="0"/>
      <w:divBdr>
        <w:top w:val="none" w:sz="0" w:space="0" w:color="auto"/>
        <w:left w:val="none" w:sz="0" w:space="0" w:color="auto"/>
        <w:bottom w:val="none" w:sz="0" w:space="0" w:color="auto"/>
        <w:right w:val="none" w:sz="0" w:space="0" w:color="auto"/>
      </w:divBdr>
    </w:div>
    <w:div w:id="754480239">
      <w:bodyDiv w:val="1"/>
      <w:marLeft w:val="0"/>
      <w:marRight w:val="0"/>
      <w:marTop w:val="0"/>
      <w:marBottom w:val="0"/>
      <w:divBdr>
        <w:top w:val="none" w:sz="0" w:space="0" w:color="auto"/>
        <w:left w:val="none" w:sz="0" w:space="0" w:color="auto"/>
        <w:bottom w:val="none" w:sz="0" w:space="0" w:color="auto"/>
        <w:right w:val="none" w:sz="0" w:space="0" w:color="auto"/>
      </w:divBdr>
    </w:div>
    <w:div w:id="796070363">
      <w:bodyDiv w:val="1"/>
      <w:marLeft w:val="0"/>
      <w:marRight w:val="0"/>
      <w:marTop w:val="0"/>
      <w:marBottom w:val="0"/>
      <w:divBdr>
        <w:top w:val="none" w:sz="0" w:space="0" w:color="auto"/>
        <w:left w:val="none" w:sz="0" w:space="0" w:color="auto"/>
        <w:bottom w:val="none" w:sz="0" w:space="0" w:color="auto"/>
        <w:right w:val="none" w:sz="0" w:space="0" w:color="auto"/>
      </w:divBdr>
    </w:div>
    <w:div w:id="1026951966">
      <w:bodyDiv w:val="1"/>
      <w:marLeft w:val="0"/>
      <w:marRight w:val="0"/>
      <w:marTop w:val="0"/>
      <w:marBottom w:val="0"/>
      <w:divBdr>
        <w:top w:val="none" w:sz="0" w:space="0" w:color="auto"/>
        <w:left w:val="none" w:sz="0" w:space="0" w:color="auto"/>
        <w:bottom w:val="none" w:sz="0" w:space="0" w:color="auto"/>
        <w:right w:val="none" w:sz="0" w:space="0" w:color="auto"/>
      </w:divBdr>
    </w:div>
    <w:div w:id="1135875894">
      <w:bodyDiv w:val="1"/>
      <w:marLeft w:val="0"/>
      <w:marRight w:val="0"/>
      <w:marTop w:val="0"/>
      <w:marBottom w:val="0"/>
      <w:divBdr>
        <w:top w:val="none" w:sz="0" w:space="0" w:color="auto"/>
        <w:left w:val="none" w:sz="0" w:space="0" w:color="auto"/>
        <w:bottom w:val="none" w:sz="0" w:space="0" w:color="auto"/>
        <w:right w:val="none" w:sz="0" w:space="0" w:color="auto"/>
      </w:divBdr>
    </w:div>
    <w:div w:id="1182009268">
      <w:bodyDiv w:val="1"/>
      <w:marLeft w:val="0"/>
      <w:marRight w:val="0"/>
      <w:marTop w:val="0"/>
      <w:marBottom w:val="0"/>
      <w:divBdr>
        <w:top w:val="none" w:sz="0" w:space="0" w:color="auto"/>
        <w:left w:val="none" w:sz="0" w:space="0" w:color="auto"/>
        <w:bottom w:val="none" w:sz="0" w:space="0" w:color="auto"/>
        <w:right w:val="none" w:sz="0" w:space="0" w:color="auto"/>
      </w:divBdr>
    </w:div>
    <w:div w:id="1370569296">
      <w:bodyDiv w:val="1"/>
      <w:marLeft w:val="0"/>
      <w:marRight w:val="0"/>
      <w:marTop w:val="0"/>
      <w:marBottom w:val="0"/>
      <w:divBdr>
        <w:top w:val="none" w:sz="0" w:space="0" w:color="auto"/>
        <w:left w:val="none" w:sz="0" w:space="0" w:color="auto"/>
        <w:bottom w:val="none" w:sz="0" w:space="0" w:color="auto"/>
        <w:right w:val="none" w:sz="0" w:space="0" w:color="auto"/>
      </w:divBdr>
    </w:div>
    <w:div w:id="1474566074">
      <w:bodyDiv w:val="1"/>
      <w:marLeft w:val="0"/>
      <w:marRight w:val="0"/>
      <w:marTop w:val="0"/>
      <w:marBottom w:val="0"/>
      <w:divBdr>
        <w:top w:val="none" w:sz="0" w:space="0" w:color="auto"/>
        <w:left w:val="none" w:sz="0" w:space="0" w:color="auto"/>
        <w:bottom w:val="none" w:sz="0" w:space="0" w:color="auto"/>
        <w:right w:val="none" w:sz="0" w:space="0" w:color="auto"/>
      </w:divBdr>
    </w:div>
    <w:div w:id="1492214022">
      <w:bodyDiv w:val="1"/>
      <w:marLeft w:val="0"/>
      <w:marRight w:val="0"/>
      <w:marTop w:val="0"/>
      <w:marBottom w:val="0"/>
      <w:divBdr>
        <w:top w:val="none" w:sz="0" w:space="0" w:color="auto"/>
        <w:left w:val="none" w:sz="0" w:space="0" w:color="auto"/>
        <w:bottom w:val="none" w:sz="0" w:space="0" w:color="auto"/>
        <w:right w:val="none" w:sz="0" w:space="0" w:color="auto"/>
      </w:divBdr>
    </w:div>
    <w:div w:id="1905288073">
      <w:bodyDiv w:val="1"/>
      <w:marLeft w:val="0"/>
      <w:marRight w:val="0"/>
      <w:marTop w:val="0"/>
      <w:marBottom w:val="0"/>
      <w:divBdr>
        <w:top w:val="none" w:sz="0" w:space="0" w:color="auto"/>
        <w:left w:val="none" w:sz="0" w:space="0" w:color="auto"/>
        <w:bottom w:val="none" w:sz="0" w:space="0" w:color="auto"/>
        <w:right w:val="none" w:sz="0" w:space="0" w:color="auto"/>
      </w:divBdr>
    </w:div>
    <w:div w:id="1937013353">
      <w:bodyDiv w:val="1"/>
      <w:marLeft w:val="0"/>
      <w:marRight w:val="0"/>
      <w:marTop w:val="0"/>
      <w:marBottom w:val="0"/>
      <w:divBdr>
        <w:top w:val="none" w:sz="0" w:space="0" w:color="auto"/>
        <w:left w:val="none" w:sz="0" w:space="0" w:color="auto"/>
        <w:bottom w:val="none" w:sz="0" w:space="0" w:color="auto"/>
        <w:right w:val="none" w:sz="0" w:space="0" w:color="auto"/>
      </w:divBdr>
    </w:div>
    <w:div w:id="19708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FIS-A2@ec.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DEFIS-A2@ec.europa.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uriserv:OJ.C_.2019.191.01.0002.01.ENG" TargetMode="External"/><Relationship Id="rId1" Type="http://schemas.openxmlformats.org/officeDocument/2006/relationships/hyperlink" Target="https://eur-lex.europa.eu/legal-content/EN/TXT/?uri=uriserv:OJ.C_.2019.191.01.0002.01.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BCA38C-3E88-421D-B0F0-DB706878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16187</Characters>
  <Application>Microsoft Office Word</Application>
  <DocSecurity>0</DocSecurity>
  <Lines>351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2021-07-13T08:42:00Z</dcterms:created>
  <dcterms:modified xsi:type="dcterms:W3CDTF">2021-07-13T08:42:00Z</dcterms:modified>
</cp:coreProperties>
</file>